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SAS-2508</w:t>
      </w:r>
    </w:p>
    <w:p>
      <w:r>
        <w:t xml:space="preserve">Panel: the approved suppliers for lifting and rigging named in Schedule 1</w:t>
      </w:r>
    </w:p>
    <w:p>
      <w:r>
        <w:t xml:space="preserve">Category: Lifting and Rigging</w:t>
      </w:r>
    </w:p>
    <w:p>
      <w:r>
        <w:t xml:space="preserve">Delivery site: Secunda and Sasolburg</w:t>
      </w:r>
    </w:p>
    <w:p>
      <w:r>
        <w:t xml:space="preserve">Commencement date: 21 July 2023</w:t>
      </w:r>
    </w:p>
    <w:p/>
    <w:p>
      <w:pPr>
        <w:pStyle w:val="Heading1"/>
      </w:pPr>
      <w:r>
        <w:t xml:space="preserve">1. SCOPE</w:t>
      </w:r>
    </w:p>
    <w:p>
      <w:r>
        <w:t xml:space="preserve">1.1 Each panel supplier shall provide lifting and rigging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2.2 The rates in the schedule are fixed for the duration of this Agreement, including any renewal period.</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forty eight months from the Commencement Date and renews automatically for successive twenty four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