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SAS-2510</w:t>
      </w:r>
    </w:p>
    <w:p>
      <w:r>
        <w:t xml:space="preserve">Panel: the approved suppliers for pumps named in Schedule 1</w:t>
      </w:r>
    </w:p>
    <w:p>
      <w:r>
        <w:t xml:space="preserve">Category: Pumps</w:t>
      </w:r>
    </w:p>
    <w:p>
      <w:r>
        <w:t xml:space="preserve">Delivery site: Secunda and Sasolburg</w:t>
      </w:r>
    </w:p>
    <w:p>
      <w:r>
        <w:t xml:space="preserve">Commencement date: 06 August 2024</w:t>
      </w:r>
    </w:p>
    <w:p/>
    <w:p>
      <w:pPr>
        <w:pStyle w:val="Heading1"/>
      </w:pPr>
      <w:r>
        <w:t xml:space="preserve">1. SCOPE</w:t>
      </w:r>
    </w:p>
    <w:p>
      <w:r>
        <w:t xml:space="preserve">1.1 Each panel supplier shall provide pumps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2.2 The rates in the schedule are fixed for the duration of this Agreement, including any renewal period.</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sixty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