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PANEL AGREEMENT</w:t>
      </w:r>
    </w:p>
    <w:p>
      <w:r>
        <w:t xml:space="preserve">Agreement reference: SAS-2511</w:t>
      </w:r>
    </w:p>
    <w:p>
      <w:r>
        <w:t xml:space="preserve">Panel: the approved suppliers for refractory and linings named in Schedule 1</w:t>
      </w:r>
    </w:p>
    <w:p>
      <w:r>
        <w:t xml:space="preserve">Category: Refractory and Linings</w:t>
      </w:r>
    </w:p>
    <w:p>
      <w:r>
        <w:t xml:space="preserve">Delivery site: Secunda and Sasolburg</w:t>
      </w:r>
    </w:p>
    <w:p>
      <w:r>
        <w:t xml:space="preserve">Commencement date: 13 November 2024</w:t>
      </w:r>
    </w:p>
    <w:p/>
    <w:p>
      <w:pPr>
        <w:pStyle w:val="Heading1"/>
      </w:pPr>
      <w:r>
        <w:t xml:space="preserve">1. SCOPE</w:t>
      </w:r>
    </w:p>
    <w:p>
      <w:r>
        <w:t xml:space="preserve">1.1 Each panel supplier shall provide refractory and linings to the Purchaser at the Secunda and Sasolburg sites, on the terms set out in this Agreement and in any Annexure to it.</w:t>
      </w:r>
    </w:p>
    <w:p>
      <w:pPr>
        <w:pStyle w:val="Heading1"/>
      </w:pPr>
      <w:r>
        <w:t xml:space="preserve">2. PRICING</w:t>
      </w:r>
    </w:p>
    <w:p>
      <w:r>
        <w:t xml:space="preserve">2.1 Pricing is as set out in the rate schedule agreed between the parties and is exclusive of value added tax.</w:t>
      </w:r>
    </w:p>
    <w:p>
      <w:r>
        <w:t xml:space="preserve">2.3 The rates in the schedule may be adjusted once a year, with effect from the anniversary of the Commencement Date, by no more than the annual change in headline CPI published by Statistics South Africa for the second month before the month in which notice of the adjusted rates is given. No adjustment shall take effect unless the panel supplier concerned has given the Purchaser thirty days written notice of the adjusted rates in terms of clause 8.1.</w:t>
      </w:r>
    </w:p>
    <w:p>
      <w:pPr>
        <w:pStyle w:val="Heading1"/>
      </w:pPr>
      <w:r>
        <w:t xml:space="preserve">3. PAYMENT</w:t>
      </w:r>
    </w:p>
    <w:p>
      <w:r>
        <w:t xml:space="preserve">3.1 Payment shall be made by the Purchaser within 30 (thirty)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twenty four month periods unless either party gives one hundred and twenty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NOTICES</w:t>
      </w:r>
    </w:p>
    <w:p>
      <w:r>
        <w:t xml:space="preserve">8.1 Any notice under this Agreement must be in writing and delivered to the Purchaser's contracts office, by hand, by registered post or through the Purchaser's supplier portal. A notice sent to any other person or address is not a valid notice.</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