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86BD" w14:textId="6EC67E7D" w:rsidR="00232ED4" w:rsidRPr="00E0307B" w:rsidRDefault="00232ED4" w:rsidP="00232ED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  <w:lang w:val="vi-VN"/>
        </w:rPr>
        <w:t>- Background:</w:t>
      </w:r>
    </w:p>
    <w:p w14:paraId="6FBE4E6F" w14:textId="17037792" w:rsidR="008B5C47" w:rsidRPr="00E0307B" w:rsidRDefault="00232ED4" w:rsidP="00232ED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2007,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airtime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SIM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2014.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2016,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413376B" w14:textId="6F6FF8FA" w:rsidR="00232ED4" w:rsidRPr="00E0307B" w:rsidRDefault="00232ED4" w:rsidP="00232ED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</w:rPr>
        <w:t xml:space="preserve">Ngày 2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2014,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Androi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r w:rsidRPr="00E0307B">
        <w:rPr>
          <w:rFonts w:ascii="Times New Roman" w:hAnsi="Times New Roman" w:cs="Times New Roman"/>
          <w:sz w:val="28"/>
          <w:szCs w:val="28"/>
        </w:rPr>
        <w:t>App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Store 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End"/>
      <w:r w:rsidRPr="00E0307B">
        <w:rPr>
          <w:rFonts w:ascii="Times New Roman" w:hAnsi="Times New Roman" w:cs="Times New Roman"/>
          <w:sz w:val="28"/>
          <w:szCs w:val="28"/>
        </w:rPr>
        <w:t> </w:t>
      </w:r>
      <w:r w:rsidRPr="00E0307B">
        <w:rPr>
          <w:rFonts w:ascii="Times New Roman" w:hAnsi="Times New Roman" w:cs="Times New Roman"/>
          <w:sz w:val="28"/>
          <w:szCs w:val="28"/>
        </w:rPr>
        <w:t>IOS</w:t>
      </w:r>
      <w:r w:rsidRPr="00E030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2015,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Windows Phone.</w:t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2015,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r w:rsidRPr="00E0307B">
        <w:rPr>
          <w:rFonts w:ascii="Times New Roman" w:hAnsi="Times New Roman" w:cs="Times New Roman"/>
          <w:sz w:val="28"/>
          <w:szCs w:val="28"/>
        </w:rPr>
        <w:t>NHNNVN</w:t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FD79A0" w14:textId="2D34D69B" w:rsidR="00E0307B" w:rsidRPr="00E0307B" w:rsidRDefault="00E0307B" w:rsidP="00232ED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2016,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Standard Chartered Private Equity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Goldman Sachs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r w:rsidRPr="00E0307B">
        <w:rPr>
          <w:rFonts w:ascii="Times New Roman" w:hAnsi="Times New Roman" w:cs="Times New Roman"/>
          <w:sz w:val="28"/>
          <w:szCs w:val="28"/>
        </w:rPr>
        <w:t xml:space="preserve">chi 28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.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PCI DSS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7FF537FE" w14:textId="5C0A91AE" w:rsidR="00E0307B" w:rsidRPr="00E0307B" w:rsidRDefault="00E0307B" w:rsidP="00E030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2017,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CGV Cinemas.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2017, Ngân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Shinhan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M_Service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Ngân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Shinhan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11,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r w:rsidRPr="00E0307B">
        <w:rPr>
          <w:rFonts w:ascii="Times New Roman" w:hAnsi="Times New Roman" w:cs="Times New Roman"/>
          <w:sz w:val="28"/>
          <w:szCs w:val="28"/>
        </w:rPr>
        <w:t>Uber</w:t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Uber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ở Đông Nam Á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Uber qua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20388" w14:textId="4007862C" w:rsidR="00E0307B" w:rsidRPr="00E0307B" w:rsidRDefault="00E0307B" w:rsidP="00E030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2018,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fldChar w:fldCharType="begin"/>
      </w:r>
      <w:r w:rsidRPr="00E0307B">
        <w:rPr>
          <w:rFonts w:ascii="Times New Roman" w:hAnsi="Times New Roman" w:cs="Times New Roman"/>
          <w:sz w:val="28"/>
          <w:szCs w:val="28"/>
        </w:rPr>
        <w:instrText>HYPERLINK "https://vi.wikipedia.org/wiki/T%E1%BA%ADp_%C4%91o%C3%A0n_T%C3%A0i_ch%C3%ADnh-B%E1%BA%A3o_hi%E1%BB%83m_B%E1%BA%A3o_Vi%E1%BB%87t" \o "Tập đoàn Tài chính-Bảo hiểm Bảo Việt"</w:instrText>
      </w:r>
      <w:r w:rsidRPr="00E0307B">
        <w:rPr>
          <w:rFonts w:ascii="Times New Roman" w:hAnsi="Times New Roman" w:cs="Times New Roman"/>
          <w:sz w:val="28"/>
          <w:szCs w:val="28"/>
        </w:rPr>
      </w:r>
      <w:r w:rsidRPr="00E0307B">
        <w:rPr>
          <w:rFonts w:ascii="Times New Roman" w:hAnsi="Times New Roman" w:cs="Times New Roman"/>
          <w:sz w:val="28"/>
          <w:szCs w:val="28"/>
        </w:rPr>
        <w:fldChar w:fldCharType="separate"/>
      </w:r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Tổng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công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ty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bảo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hiểm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Bảo Việt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Công ty tài chính tiêu dùng Home Credit Việt Nam (trang không tồn tại)" w:history="1"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Công ty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tài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chính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tiêu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dùng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Home Credit Việt Nam</w:t>
        </w:r>
      </w:hyperlink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fldChar w:fldCharType="begin"/>
      </w:r>
      <w:r w:rsidRPr="00E0307B">
        <w:rPr>
          <w:rFonts w:ascii="Times New Roman" w:hAnsi="Times New Roman" w:cs="Times New Roman"/>
          <w:sz w:val="28"/>
          <w:szCs w:val="28"/>
        </w:rPr>
        <w:instrText>HYPERLINK "https://vi.wikipedia.org/w/index.php?title=T%E1%BB%95ng_C%C3%B4ng_ty_%C4%90%C6%B0%E1%BB%9Dng_S%E1%BA%AFt_Vi%E1%BB%87t_Nam&amp;action=edit&amp;redlink=1" \o "Tổng Công ty Đường Sắt Việt Nam (trang không tồn tại)"</w:instrText>
      </w:r>
      <w:r w:rsidRPr="00E0307B">
        <w:rPr>
          <w:rFonts w:ascii="Times New Roman" w:hAnsi="Times New Roman" w:cs="Times New Roman"/>
          <w:sz w:val="28"/>
          <w:szCs w:val="28"/>
        </w:rPr>
      </w:r>
      <w:r w:rsidRPr="00E0307B">
        <w:rPr>
          <w:rFonts w:ascii="Times New Roman" w:hAnsi="Times New Roman" w:cs="Times New Roman"/>
          <w:sz w:val="28"/>
          <w:szCs w:val="28"/>
        </w:rPr>
        <w:fldChar w:fldCharType="separate"/>
      </w:r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Tổng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Công ty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Đường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Sắt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Việt Nam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2019,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hyperlink r:id="rId6" w:tooltip="Công ty Hệ thống Thông tin FPT (trang không tồn tại)" w:history="1"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Công ty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Hệ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thống</w:t>
        </w:r>
        <w:proofErr w:type="spellEnd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Thông tin FPT</w:t>
        </w:r>
      </w:hyperlink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FPT.eHospital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FPT.eGov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fldChar w:fldCharType="begin"/>
      </w:r>
      <w:r w:rsidRPr="00E0307B">
        <w:rPr>
          <w:rFonts w:ascii="Times New Roman" w:hAnsi="Times New Roman" w:cs="Times New Roman"/>
          <w:sz w:val="28"/>
          <w:szCs w:val="28"/>
        </w:rPr>
        <w:instrText>HYPERLINK "https://vi.wikipedia.org/wiki/B%E1%BB%87nh_vi%E1%BB%87n_%C4%90%E1%BA%A1i_h%E1%BB%8Dc_Y_D%C6%B0%E1%BB%A3c_(Th%C3%A0nh_ph%E1%BB%91_H%E1%BB%93_Ch%C3%AD_Minh)" \o "Bệnh viện Đại học Y Dược (Thành phố Hồ Chí Minh)"</w:instrText>
      </w:r>
      <w:r w:rsidRPr="00E0307B">
        <w:rPr>
          <w:rFonts w:ascii="Times New Roman" w:hAnsi="Times New Roman" w:cs="Times New Roman"/>
          <w:sz w:val="28"/>
          <w:szCs w:val="28"/>
        </w:rPr>
      </w:r>
      <w:r w:rsidRPr="00E0307B">
        <w:rPr>
          <w:rFonts w:ascii="Times New Roman" w:hAnsi="Times New Roman" w:cs="Times New Roman"/>
          <w:sz w:val="28"/>
          <w:szCs w:val="28"/>
        </w:rPr>
        <w:fldChar w:fldCharType="separate"/>
      </w:r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Bệnh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viện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Đại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học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Y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Dược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Thành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phố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Hồ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Chí Minh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hyperlink r:id="rId7" w:tooltip="Coopmart" w:history="1"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Saigon </w:t>
        </w:r>
        <w:proofErr w:type="spellStart"/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Co.op</w:t>
        </w:r>
        <w:proofErr w:type="spellEnd"/>
      </w:hyperlink>
      <w:r w:rsidRPr="00E0307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2019,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App Store.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73403" w14:textId="33882986" w:rsidR="00E0307B" w:rsidRDefault="00E0307B" w:rsidP="00E0307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</w:rPr>
        <w:t xml:space="preserve">Ngày 9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2019,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Việt Nam,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VNPT Pay, </w:t>
      </w:r>
      <w:hyperlink r:id="rId8" w:tooltip="Ngân hàng Thương mại cổ phần Công Thương Việt Nam" w:history="1">
        <w:r w:rsidRPr="00E0307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Vietinbank</w:t>
        </w:r>
      </w:hyperlink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fldChar w:fldCharType="begin"/>
      </w:r>
      <w:r w:rsidRPr="00E0307B">
        <w:rPr>
          <w:rFonts w:ascii="Times New Roman" w:hAnsi="Times New Roman" w:cs="Times New Roman"/>
          <w:sz w:val="28"/>
          <w:szCs w:val="28"/>
        </w:rPr>
        <w:instrText>HYPERLINK "https://vi.wikipedia.org/wiki/Ng%C3%A2n_h%C3%A0ng_th%C6%B0%C6%A1ng_m%E1%BA%A1i_c%E1%BB%95_ph%E1%BA%A7n_Ngo%E1%BA%A1i_th%C6%B0%C6%A1ng_Vi%E1%BB%87t_Nam" \o "Ngân hàng thương mại cổ phần Ngoại thương Việt Nam"</w:instrText>
      </w:r>
      <w:r w:rsidRPr="00E0307B">
        <w:rPr>
          <w:rFonts w:ascii="Times New Roman" w:hAnsi="Times New Roman" w:cs="Times New Roman"/>
          <w:sz w:val="28"/>
          <w:szCs w:val="28"/>
        </w:rPr>
      </w:r>
      <w:r w:rsidRPr="00E0307B">
        <w:rPr>
          <w:rFonts w:ascii="Times New Roman" w:hAnsi="Times New Roman" w:cs="Times New Roman"/>
          <w:sz w:val="28"/>
          <w:szCs w:val="28"/>
        </w:rPr>
        <w:fldChar w:fldCharType="separate"/>
      </w:r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Vietcombank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E0307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fldChar w:fldCharType="begin"/>
      </w:r>
      <w:r w:rsidRPr="00E0307B">
        <w:rPr>
          <w:rFonts w:ascii="Times New Roman" w:hAnsi="Times New Roman" w:cs="Times New Roman"/>
          <w:sz w:val="28"/>
          <w:szCs w:val="28"/>
        </w:rPr>
        <w:instrText>HYPERLINK "https://vi.wikipedia.org/wiki/C%E1%BB%A5c_Tin_h%E1%BB%8Dc_h%C3%B3a_(Vi%E1%BB%87t_Nam)" \o "Cục Tin học hóa (Việt Nam)"</w:instrText>
      </w:r>
      <w:r w:rsidRPr="00E0307B">
        <w:rPr>
          <w:rFonts w:ascii="Times New Roman" w:hAnsi="Times New Roman" w:cs="Times New Roman"/>
          <w:sz w:val="28"/>
          <w:szCs w:val="28"/>
        </w:rPr>
      </w:r>
      <w:r w:rsidRPr="00E0307B">
        <w:rPr>
          <w:rFonts w:ascii="Times New Roman" w:hAnsi="Times New Roman" w:cs="Times New Roman"/>
          <w:sz w:val="28"/>
          <w:szCs w:val="28"/>
        </w:rPr>
        <w:fldChar w:fldCharType="separate"/>
      </w:r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Cục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Tin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học</w:t>
      </w:r>
      <w:proofErr w:type="spellEnd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030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hóa</w:t>
      </w:r>
      <w:proofErr w:type="spellEnd"/>
      <w:r w:rsidRPr="00E0307B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E030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38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lastRenderedPageBreak/>
        <w:t>tác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thọ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AIA.</w:t>
      </w:r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6ECA6" w14:textId="0807143C" w:rsidR="00E0307B" w:rsidRPr="00E0307B" w:rsidRDefault="00E0307B" w:rsidP="00E0307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E0307B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2021 - 2022,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11/2022,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Việt Nam 2022 (Vietnam Best Brand in 2022)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YouGov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top 10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 xml:space="preserve"> Samsung, Panasonic, Vietnam Airlines, Kinh </w:t>
      </w:r>
      <w:proofErr w:type="spellStart"/>
      <w:r w:rsidRPr="00E0307B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E0307B">
        <w:rPr>
          <w:rFonts w:ascii="Times New Roman" w:hAnsi="Times New Roman" w:cs="Times New Roman"/>
          <w:sz w:val="28"/>
          <w:szCs w:val="28"/>
        </w:rPr>
        <w:t>...</w:t>
      </w:r>
    </w:p>
    <w:p w14:paraId="42D05337" w14:textId="7A8B5805" w:rsidR="00232ED4" w:rsidRDefault="00232ED4" w:rsidP="00232ED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E0307B">
        <w:rPr>
          <w:rFonts w:ascii="Times New Roman" w:hAnsi="Times New Roman" w:cs="Times New Roman"/>
          <w:sz w:val="28"/>
          <w:szCs w:val="28"/>
        </w:rPr>
        <w:t xml:space="preserve">Competitive </w:t>
      </w:r>
      <w:r w:rsidRPr="00E0307B">
        <w:rPr>
          <w:rFonts w:ascii="Times New Roman" w:hAnsi="Times New Roman" w:cs="Times New Roman"/>
          <w:sz w:val="28"/>
          <w:szCs w:val="28"/>
        </w:rPr>
        <w:t>advantages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BFEE236" w14:textId="4E602C6F" w:rsidR="00E0307B" w:rsidRDefault="00E763EC" w:rsidP="00E763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Mạng lưới phủ rộng.</w:t>
      </w:r>
    </w:p>
    <w:p w14:paraId="36601034" w14:textId="33C1A98F" w:rsidR="00E763EC" w:rsidRDefault="00E763EC" w:rsidP="00E763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Được cấp nhiều chứng nhận.</w:t>
      </w:r>
    </w:p>
    <w:p w14:paraId="40EA53D5" w14:textId="32BCC6BF" w:rsidR="00E763EC" w:rsidRDefault="00E763EC" w:rsidP="00E763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Được NHNH bảo chứng.</w:t>
      </w:r>
    </w:p>
    <w:p w14:paraId="0FF4E893" w14:textId="3E176FB4" w:rsidR="00E763EC" w:rsidRDefault="00E763EC" w:rsidP="00E763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dễ sử dụng.</w:t>
      </w:r>
    </w:p>
    <w:p w14:paraId="1469E8DF" w14:textId="153486B1" w:rsidR="00E763EC" w:rsidRPr="00E763EC" w:rsidRDefault="00E763EC" w:rsidP="00E763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mật tốt.</w:t>
      </w:r>
    </w:p>
    <w:p w14:paraId="36996442" w14:textId="481296CC" w:rsidR="00232ED4" w:rsidRDefault="00232ED4" w:rsidP="00232ED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  <w:lang w:val="vi-VN"/>
        </w:rPr>
        <w:t>- Competitors:</w:t>
      </w:r>
    </w:p>
    <w:p w14:paraId="30DBE3E0" w14:textId="61EF0613" w:rsidR="00E763EC" w:rsidRDefault="00E763EC" w:rsidP="00E763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Zalo Pay</w:t>
      </w:r>
    </w:p>
    <w:p w14:paraId="51154529" w14:textId="4B1AB325" w:rsidR="00E763EC" w:rsidRPr="00E763EC" w:rsidRDefault="00E763EC" w:rsidP="00E763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Shopee Pay</w:t>
      </w:r>
    </w:p>
    <w:p w14:paraId="339DFCDC" w14:textId="5F39F957" w:rsidR="00E763EC" w:rsidRDefault="00232ED4" w:rsidP="00E763E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307B">
        <w:rPr>
          <w:rFonts w:ascii="Times New Roman" w:hAnsi="Times New Roman" w:cs="Times New Roman"/>
          <w:sz w:val="28"/>
          <w:szCs w:val="28"/>
        </w:rPr>
        <w:t>- Your exp in term of UI/</w:t>
      </w:r>
      <w:r w:rsidRPr="00E0307B">
        <w:rPr>
          <w:rFonts w:ascii="Times New Roman" w:hAnsi="Times New Roman" w:cs="Times New Roman"/>
          <w:sz w:val="28"/>
          <w:szCs w:val="28"/>
        </w:rPr>
        <w:t>UX</w:t>
      </w:r>
      <w:r w:rsidRPr="00E0307B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F2AB9EC" w14:textId="1C891DB2" w:rsidR="00E763EC" w:rsidRDefault="00E763EC" w:rsidP="00E763E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763EC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E763EC">
        <w:rPr>
          <w:rFonts w:ascii="Times New Roman" w:hAnsi="Times New Roman" w:cs="Times New Roman"/>
          <w:sz w:val="28"/>
          <w:szCs w:val="28"/>
          <w:lang w:val="vi-VN"/>
        </w:rPr>
        <w:t>hanh chóng, hoạt động 24/7</w:t>
      </w:r>
    </w:p>
    <w:p w14:paraId="416E623F" w14:textId="77777777" w:rsidR="00E763EC" w:rsidRDefault="00E763EC" w:rsidP="00E763E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Có thể thanh toán nhiều dịch vụ vd: điện, nước, wifi,...</w:t>
      </w:r>
    </w:p>
    <w:p w14:paraId="6B2BBB12" w14:textId="77777777" w:rsidR="00E763EC" w:rsidRDefault="00E763EC" w:rsidP="00E763E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chi tiêu thông qua ví thì có bị giới hạn, hạn mức tiêu dùng được free phí dịch vụ. </w:t>
      </w:r>
    </w:p>
    <w:p w14:paraId="0A3BB3C6" w14:textId="3CD80946" w:rsidR="00E763EC" w:rsidRPr="00E763EC" w:rsidRDefault="00E763EC" w:rsidP="00E763E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chỉ dùng để thanh toán dịch vụ là chính.</w:t>
      </w:r>
      <w:r w:rsidRPr="00E763E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E763EC" w:rsidRPr="00E7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46587"/>
    <w:multiLevelType w:val="hybridMultilevel"/>
    <w:tmpl w:val="878474C2"/>
    <w:lvl w:ilvl="0" w:tplc="E20A3E9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5C1FA5"/>
    <w:multiLevelType w:val="hybridMultilevel"/>
    <w:tmpl w:val="71DEB7E2"/>
    <w:lvl w:ilvl="0" w:tplc="3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8C5735"/>
    <w:multiLevelType w:val="hybridMultilevel"/>
    <w:tmpl w:val="AEBC0A12"/>
    <w:lvl w:ilvl="0" w:tplc="3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8B6445"/>
    <w:multiLevelType w:val="hybridMultilevel"/>
    <w:tmpl w:val="DA60244E"/>
    <w:lvl w:ilvl="0" w:tplc="3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BF31AF2"/>
    <w:multiLevelType w:val="hybridMultilevel"/>
    <w:tmpl w:val="BABA02D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0628">
    <w:abstractNumId w:val="3"/>
  </w:num>
  <w:num w:numId="2" w16cid:durableId="1324040583">
    <w:abstractNumId w:val="1"/>
  </w:num>
  <w:num w:numId="3" w16cid:durableId="201402733">
    <w:abstractNumId w:val="4"/>
  </w:num>
  <w:num w:numId="4" w16cid:durableId="1620990492">
    <w:abstractNumId w:val="2"/>
  </w:num>
  <w:num w:numId="5" w16cid:durableId="148505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4"/>
    <w:rsid w:val="00232ED4"/>
    <w:rsid w:val="003D1F88"/>
    <w:rsid w:val="008B5C47"/>
    <w:rsid w:val="00A15288"/>
    <w:rsid w:val="00BE08F8"/>
    <w:rsid w:val="00E0307B"/>
    <w:rsid w:val="00E04A4A"/>
    <w:rsid w:val="00E763EC"/>
    <w:rsid w:val="00E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0FF0"/>
  <w15:chartTrackingRefBased/>
  <w15:docId w15:val="{2A5852BC-69D3-4019-8C66-F372D02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E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g%C3%A2n_h%C3%A0ng_Th%C6%B0%C6%A1ng_m%E1%BA%A1i_c%E1%BB%95_ph%E1%BA%A7n_C%C3%B4ng_Th%C6%B0%C6%A1ng_Vi%E1%BB%87t_N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Coop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/index.php?title=C%C3%B4ng_ty_H%E1%BB%87_th%E1%BB%91ng_Th%C3%B4ng_tin_FPT&amp;action=edit&amp;redlink=1" TargetMode="External"/><Relationship Id="rId5" Type="http://schemas.openxmlformats.org/officeDocument/2006/relationships/hyperlink" Target="https://vi.wikipedia.org/w/index.php?title=C%C3%B4ng_ty_t%C3%A0i_ch%C3%ADnh_ti%C3%AAu_d%C3%B9ng_Home_Credit_Vi%E1%BB%87t_Nam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2</cp:revision>
  <dcterms:created xsi:type="dcterms:W3CDTF">2024-10-09T06:53:00Z</dcterms:created>
  <dcterms:modified xsi:type="dcterms:W3CDTF">2024-10-09T07:22:00Z</dcterms:modified>
</cp:coreProperties>
</file>