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6B" w:rsidRPr="00857EB7" w:rsidRDefault="009F264F" w:rsidP="0038118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SerifaStd-Bold"/>
          <w:b/>
          <w:bCs/>
          <w:szCs w:val="28"/>
        </w:rPr>
      </w:pPr>
      <w:r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 xml:space="preserve">Nipomo High School   </w:t>
      </w:r>
      <w:r w:rsidR="00857EB7"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>2014</w:t>
      </w:r>
      <w:r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>-201</w:t>
      </w:r>
      <w:r w:rsidR="00857EB7"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>5</w:t>
      </w:r>
      <w:r w:rsidR="009A7D50"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 xml:space="preserve"> </w:t>
      </w:r>
      <w:r w:rsidR="000D16E4"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 xml:space="preserve">AP Calculus </w:t>
      </w:r>
      <w:r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>AB &amp; BC</w:t>
      </w:r>
      <w:r w:rsidR="00381186"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t xml:space="preserve"> Syllabus</w:t>
      </w:r>
      <w:r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br/>
      </w:r>
    </w:p>
    <w:p w:rsidR="009F264F" w:rsidRPr="00857EB7" w:rsidRDefault="00381186" w:rsidP="0038118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/>
          <w:bCs/>
          <w:szCs w:val="28"/>
        </w:rPr>
        <w:t>Mr.</w:t>
      </w:r>
      <w:r w:rsidR="009F264F" w:rsidRPr="00857EB7">
        <w:rPr>
          <w:rFonts w:asciiTheme="majorHAnsi" w:hAnsiTheme="majorHAnsi" w:cs="SerifaStd-Bold"/>
          <w:b/>
          <w:bCs/>
          <w:szCs w:val="28"/>
        </w:rPr>
        <w:t xml:space="preserve"> </w:t>
      </w:r>
      <w:proofErr w:type="spellStart"/>
      <w:r w:rsidR="009F264F" w:rsidRPr="00857EB7">
        <w:rPr>
          <w:rFonts w:asciiTheme="majorHAnsi" w:hAnsiTheme="majorHAnsi" w:cs="SerifaStd-Bold"/>
          <w:b/>
          <w:bCs/>
          <w:szCs w:val="28"/>
        </w:rPr>
        <w:t>Thorshov</w:t>
      </w:r>
      <w:proofErr w:type="spellEnd"/>
      <w:r w:rsidRPr="00857EB7">
        <w:rPr>
          <w:rFonts w:asciiTheme="majorHAnsi" w:hAnsiTheme="majorHAnsi" w:cs="SerifaStd-Bold"/>
          <w:bCs/>
          <w:szCs w:val="28"/>
        </w:rPr>
        <w:br/>
      </w:r>
      <w:r w:rsidR="009F264F" w:rsidRPr="00857EB7">
        <w:rPr>
          <w:rFonts w:asciiTheme="majorHAnsi" w:hAnsiTheme="majorHAnsi" w:cs="SerifaStd-Bold"/>
          <w:bCs/>
          <w:szCs w:val="28"/>
        </w:rPr>
        <w:t xml:space="preserve">E-mail: </w:t>
      </w:r>
      <w:hyperlink r:id="rId6" w:history="1">
        <w:r w:rsidR="009F264F" w:rsidRPr="00857EB7">
          <w:rPr>
            <w:rStyle w:val="Hyperlink"/>
            <w:rFonts w:asciiTheme="majorHAnsi" w:hAnsiTheme="majorHAnsi" w:cs="SerifaStd-Bold"/>
            <w:bCs/>
            <w:color w:val="auto"/>
            <w:szCs w:val="28"/>
          </w:rPr>
          <w:t>sthorshov@lmusd.org</w:t>
        </w:r>
      </w:hyperlink>
      <w:r w:rsidR="003C76C6" w:rsidRPr="00857EB7">
        <w:rPr>
          <w:rFonts w:asciiTheme="majorHAnsi" w:hAnsiTheme="majorHAnsi" w:cs="SerifaStd-Bold"/>
          <w:bCs/>
          <w:szCs w:val="28"/>
        </w:rPr>
        <w:t>;   Text</w:t>
      </w:r>
      <w:r w:rsidR="00857EB7">
        <w:rPr>
          <w:rFonts w:asciiTheme="majorHAnsi" w:hAnsiTheme="majorHAnsi" w:cs="SerifaStd-Bold"/>
          <w:bCs/>
          <w:szCs w:val="28"/>
        </w:rPr>
        <w:t>ing</w:t>
      </w:r>
      <w:r w:rsidR="003C76C6" w:rsidRPr="00857EB7">
        <w:rPr>
          <w:rFonts w:asciiTheme="majorHAnsi" w:hAnsiTheme="majorHAnsi" w:cs="SerifaStd-Bold"/>
          <w:bCs/>
          <w:szCs w:val="28"/>
        </w:rPr>
        <w:t>:</w:t>
      </w:r>
      <w:r w:rsidR="00857EB7">
        <w:rPr>
          <w:rFonts w:asciiTheme="majorHAnsi" w:hAnsiTheme="majorHAnsi" w:cs="SerifaStd-Bold"/>
          <w:bCs/>
          <w:szCs w:val="28"/>
        </w:rPr>
        <w:t xml:space="preserve"> </w:t>
      </w:r>
      <w:r w:rsidR="003C76C6" w:rsidRPr="00857EB7">
        <w:rPr>
          <w:rFonts w:asciiTheme="majorHAnsi" w:hAnsiTheme="majorHAnsi" w:cs="SerifaStd-Bold"/>
          <w:bCs/>
          <w:szCs w:val="28"/>
        </w:rPr>
        <w:t xml:space="preserve"> 805-235-2134</w:t>
      </w:r>
      <w:r w:rsidRPr="00857EB7">
        <w:rPr>
          <w:rFonts w:asciiTheme="majorHAnsi" w:hAnsiTheme="majorHAnsi" w:cs="SerifaStd-Bold"/>
          <w:bCs/>
          <w:szCs w:val="28"/>
        </w:rPr>
        <w:br/>
      </w:r>
      <w:r w:rsidR="009F264F" w:rsidRPr="00857EB7">
        <w:rPr>
          <w:rFonts w:asciiTheme="majorHAnsi" w:hAnsiTheme="majorHAnsi" w:cs="SerifaStd-Bold"/>
          <w:bCs/>
          <w:szCs w:val="28"/>
        </w:rPr>
        <w:t>Period</w:t>
      </w:r>
      <w:r w:rsidR="00C71ED0">
        <w:rPr>
          <w:rFonts w:asciiTheme="majorHAnsi" w:hAnsiTheme="majorHAnsi" w:cs="SerifaStd-Bold"/>
          <w:bCs/>
          <w:szCs w:val="28"/>
        </w:rPr>
        <w:t xml:space="preserve"> 1</w:t>
      </w:r>
      <w:r w:rsidR="009F264F" w:rsidRPr="00857EB7">
        <w:rPr>
          <w:rFonts w:asciiTheme="majorHAnsi" w:hAnsiTheme="majorHAnsi" w:cs="SerifaStd-Bold"/>
          <w:bCs/>
          <w:szCs w:val="28"/>
        </w:rPr>
        <w:t xml:space="preserve"> - Room 137</w:t>
      </w:r>
    </w:p>
    <w:p w:rsidR="009F264F" w:rsidRPr="00857EB7" w:rsidRDefault="009F264F" w:rsidP="009F26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SerifaStd-Bold"/>
          <w:bCs/>
          <w:szCs w:val="28"/>
        </w:rPr>
      </w:pPr>
    </w:p>
    <w:p w:rsidR="00381186" w:rsidRPr="00857EB7" w:rsidRDefault="00C71ED0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>
        <w:rPr>
          <w:rFonts w:asciiTheme="majorHAnsi" w:hAnsiTheme="majorHAnsi" w:cs="SerifaStd-Bold"/>
          <w:b/>
          <w:bCs/>
          <w:szCs w:val="28"/>
        </w:rPr>
        <w:t xml:space="preserve">Primary </w:t>
      </w:r>
      <w:r w:rsidR="00381186" w:rsidRPr="00857EB7">
        <w:rPr>
          <w:rFonts w:asciiTheme="majorHAnsi" w:hAnsiTheme="majorHAnsi" w:cs="SerifaStd-Bold"/>
          <w:b/>
          <w:bCs/>
          <w:szCs w:val="28"/>
        </w:rPr>
        <w:t>Text</w:t>
      </w:r>
      <w:r w:rsidR="00381186" w:rsidRPr="00857EB7">
        <w:rPr>
          <w:rFonts w:asciiTheme="majorHAnsi" w:hAnsiTheme="majorHAnsi" w:cs="SerifaStd-Bold"/>
          <w:bCs/>
          <w:szCs w:val="28"/>
        </w:rPr>
        <w:t xml:space="preserve">: </w:t>
      </w:r>
      <w:r w:rsidR="00381186" w:rsidRPr="00857EB7">
        <w:rPr>
          <w:rFonts w:asciiTheme="majorHAnsi" w:hAnsiTheme="majorHAnsi" w:cs="SerifaStd-Bold"/>
          <w:bCs/>
          <w:szCs w:val="28"/>
        </w:rPr>
        <w:tab/>
      </w:r>
      <w:r>
        <w:rPr>
          <w:rFonts w:asciiTheme="majorHAnsi" w:hAnsiTheme="majorHAnsi" w:cs="SerifaStd-Bold"/>
          <w:bCs/>
          <w:szCs w:val="28"/>
        </w:rPr>
        <w:t>Building Java Programs – A back to basics approach 3</w:t>
      </w:r>
      <w:r w:rsidRPr="00C71ED0">
        <w:rPr>
          <w:rFonts w:asciiTheme="majorHAnsi" w:hAnsiTheme="majorHAnsi" w:cs="SerifaStd-Bold"/>
          <w:bCs/>
          <w:szCs w:val="28"/>
          <w:vertAlign w:val="superscript"/>
        </w:rPr>
        <w:t>rd</w:t>
      </w:r>
      <w:r>
        <w:rPr>
          <w:rFonts w:asciiTheme="majorHAnsi" w:hAnsiTheme="majorHAnsi" w:cs="SerifaStd-Bold"/>
          <w:bCs/>
          <w:szCs w:val="28"/>
        </w:rPr>
        <w:t xml:space="preserve"> </w:t>
      </w:r>
      <w:proofErr w:type="gramStart"/>
      <w:r>
        <w:rPr>
          <w:rFonts w:asciiTheme="majorHAnsi" w:hAnsiTheme="majorHAnsi" w:cs="SerifaStd-Bold"/>
          <w:bCs/>
          <w:szCs w:val="28"/>
        </w:rPr>
        <w:t>ed</w:t>
      </w:r>
      <w:proofErr w:type="gramEnd"/>
      <w:r w:rsidR="00381186" w:rsidRPr="00857EB7">
        <w:rPr>
          <w:rFonts w:asciiTheme="majorHAnsi" w:hAnsiTheme="majorHAnsi" w:cs="SerifaStd-Bold"/>
          <w:bCs/>
          <w:szCs w:val="28"/>
        </w:rPr>
        <w:t>.</w:t>
      </w:r>
      <w:r>
        <w:rPr>
          <w:rFonts w:asciiTheme="majorHAnsi" w:hAnsiTheme="majorHAnsi" w:cs="SerifaStd-Bold"/>
          <w:bCs/>
          <w:szCs w:val="28"/>
        </w:rPr>
        <w:t xml:space="preserve">      </w:t>
      </w:r>
      <w:r w:rsidR="00381186" w:rsidRPr="00857EB7">
        <w:rPr>
          <w:rFonts w:asciiTheme="majorHAnsi" w:hAnsiTheme="majorHAnsi" w:cs="SerifaStd-Bold"/>
          <w:bCs/>
          <w:szCs w:val="28"/>
        </w:rPr>
        <w:t xml:space="preserve">  </w:t>
      </w:r>
      <w:proofErr w:type="spellStart"/>
      <w:r>
        <w:rPr>
          <w:rFonts w:asciiTheme="majorHAnsi" w:hAnsiTheme="majorHAnsi" w:cs="SerifaStd-Bold"/>
          <w:bCs/>
          <w:szCs w:val="28"/>
        </w:rPr>
        <w:t>Reges</w:t>
      </w:r>
      <w:proofErr w:type="spellEnd"/>
      <w:r>
        <w:rPr>
          <w:rFonts w:asciiTheme="majorHAnsi" w:hAnsiTheme="majorHAnsi" w:cs="SerifaStd-Bold"/>
          <w:bCs/>
          <w:szCs w:val="28"/>
        </w:rPr>
        <w:t xml:space="preserve"> &amp; </w:t>
      </w:r>
      <w:proofErr w:type="spellStart"/>
      <w:r>
        <w:rPr>
          <w:rFonts w:asciiTheme="majorHAnsi" w:hAnsiTheme="majorHAnsi" w:cs="SerifaStd-Bold"/>
          <w:bCs/>
          <w:szCs w:val="28"/>
        </w:rPr>
        <w:t>Stepp</w:t>
      </w:r>
      <w:proofErr w:type="spellEnd"/>
      <w:r w:rsidR="00381186" w:rsidRPr="00857EB7">
        <w:rPr>
          <w:rFonts w:asciiTheme="majorHAnsi" w:hAnsiTheme="majorHAnsi" w:cs="SerifaStd-Bold"/>
          <w:bCs/>
          <w:szCs w:val="28"/>
        </w:rPr>
        <w:br/>
      </w:r>
    </w:p>
    <w:p w:rsidR="00381186" w:rsidRPr="00857EB7" w:rsidRDefault="0096426D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 xml:space="preserve">Welcome </w:t>
      </w:r>
      <w:r w:rsidR="00C71ED0">
        <w:rPr>
          <w:rFonts w:asciiTheme="majorHAnsi" w:hAnsiTheme="majorHAnsi" w:cs="SerifaStd-Bold"/>
          <w:bCs/>
          <w:szCs w:val="28"/>
        </w:rPr>
        <w:t xml:space="preserve">to </w:t>
      </w:r>
      <w:r w:rsidRPr="00857EB7">
        <w:rPr>
          <w:rFonts w:asciiTheme="majorHAnsi" w:hAnsiTheme="majorHAnsi" w:cs="SerifaStd-Bold"/>
          <w:bCs/>
          <w:szCs w:val="28"/>
        </w:rPr>
        <w:t xml:space="preserve">students with the desire to elevate their </w:t>
      </w:r>
      <w:r w:rsidR="00C71ED0">
        <w:rPr>
          <w:rFonts w:asciiTheme="majorHAnsi" w:hAnsiTheme="majorHAnsi" w:cs="SerifaStd-Bold"/>
          <w:bCs/>
          <w:szCs w:val="28"/>
        </w:rPr>
        <w:t xml:space="preserve">problem solving and programming skills.    </w:t>
      </w:r>
    </w:p>
    <w:p w:rsidR="0096426D" w:rsidRPr="00857EB7" w:rsidRDefault="0096426D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96426D" w:rsidRPr="00857EB7" w:rsidRDefault="000D2212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>To provide a balance learning experience course topics will be supported using the following four strategies.</w:t>
      </w:r>
    </w:p>
    <w:p w:rsidR="0096426D" w:rsidRPr="00857EB7" w:rsidRDefault="0096426D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>• Numerical analysis (where data points are known, but not an equation)</w:t>
      </w:r>
    </w:p>
    <w:p w:rsidR="0096426D" w:rsidRPr="00857EB7" w:rsidRDefault="0096426D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>• Graphical analysis (where a graph is known, but not an equation)</w:t>
      </w:r>
    </w:p>
    <w:p w:rsidR="0096426D" w:rsidRPr="00857EB7" w:rsidRDefault="0096426D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>• Analytic/algebraic analysis (traditional equation and variable manipulation)</w:t>
      </w:r>
    </w:p>
    <w:p w:rsidR="0096426D" w:rsidRPr="00857EB7" w:rsidRDefault="0096426D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 xml:space="preserve">• Verbal/written methods of representing problems. </w:t>
      </w:r>
      <w:r w:rsidR="0045578C" w:rsidRPr="00857EB7">
        <w:rPr>
          <w:rFonts w:asciiTheme="majorHAnsi" w:hAnsiTheme="majorHAnsi" w:cs="SerifaStd-Bold"/>
          <w:bCs/>
          <w:szCs w:val="28"/>
        </w:rPr>
        <w:t>(</w:t>
      </w:r>
      <w:r w:rsidRPr="00857EB7">
        <w:rPr>
          <w:rFonts w:asciiTheme="majorHAnsi" w:hAnsiTheme="majorHAnsi" w:cs="SerifaStd-Bold"/>
          <w:bCs/>
          <w:szCs w:val="28"/>
        </w:rPr>
        <w:t>Mathematical literacy</w:t>
      </w:r>
      <w:r w:rsidR="0045578C" w:rsidRPr="00857EB7">
        <w:rPr>
          <w:rFonts w:asciiTheme="majorHAnsi" w:hAnsiTheme="majorHAnsi" w:cs="SerifaStd-Bold"/>
          <w:bCs/>
          <w:szCs w:val="28"/>
        </w:rPr>
        <w:t>)</w:t>
      </w:r>
    </w:p>
    <w:p w:rsidR="000D2212" w:rsidRPr="00857EB7" w:rsidRDefault="000D2212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0D2212" w:rsidRPr="00857EB7" w:rsidRDefault="000D2212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 xml:space="preserve">The course is paced to support the mastery of the topics and provide ample opportunity to prepare for the Advanced Placement </w:t>
      </w:r>
      <w:r w:rsidR="0045578C" w:rsidRPr="00857EB7">
        <w:rPr>
          <w:rFonts w:asciiTheme="majorHAnsi" w:hAnsiTheme="majorHAnsi" w:cs="SerifaStd-Bold"/>
          <w:bCs/>
          <w:szCs w:val="28"/>
        </w:rPr>
        <w:t>Exam</w:t>
      </w:r>
      <w:r w:rsidRPr="00857EB7">
        <w:rPr>
          <w:rFonts w:asciiTheme="majorHAnsi" w:hAnsiTheme="majorHAnsi" w:cs="SerifaStd-Bold"/>
          <w:bCs/>
          <w:szCs w:val="28"/>
        </w:rPr>
        <w:t xml:space="preserve"> in May.  Students who perform well can earn credit at Universities and Colleges and thi</w:t>
      </w:r>
      <w:r w:rsidR="0045578C" w:rsidRPr="00857EB7">
        <w:rPr>
          <w:rFonts w:asciiTheme="majorHAnsi" w:hAnsiTheme="majorHAnsi" w:cs="SerifaStd-Bold"/>
          <w:bCs/>
          <w:szCs w:val="28"/>
        </w:rPr>
        <w:t>s goal will be highly supported by a course that adheres to the best practices recommended by College Board.</w:t>
      </w:r>
    </w:p>
    <w:p w:rsidR="0045578C" w:rsidRPr="00857EB7" w:rsidRDefault="0045578C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45578C" w:rsidRPr="00857EB7" w:rsidRDefault="0045578C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/>
          <w:bCs/>
          <w:szCs w:val="28"/>
        </w:rPr>
        <w:t xml:space="preserve">Course Requirements:  </w:t>
      </w:r>
      <w:r w:rsidRPr="00857EB7">
        <w:rPr>
          <w:rFonts w:asciiTheme="majorHAnsi" w:hAnsiTheme="majorHAnsi" w:cs="SerifaStd-Bold"/>
          <w:bCs/>
          <w:szCs w:val="28"/>
        </w:rPr>
        <w:t xml:space="preserve">The AP Exam requires the use of graphing calculators with the ability </w:t>
      </w:r>
      <w:r w:rsidR="0029046B" w:rsidRPr="00857EB7">
        <w:rPr>
          <w:rFonts w:asciiTheme="majorHAnsi" w:hAnsiTheme="majorHAnsi" w:cs="SerifaStd-Bold"/>
          <w:bCs/>
          <w:szCs w:val="28"/>
        </w:rPr>
        <w:t xml:space="preserve">to perform numeric integration.  Students are recommended to acquire a TI-84 calculator for this course as a wide variety of techniques will be specifically modeled and instructed for this device.   </w:t>
      </w:r>
    </w:p>
    <w:p w:rsidR="0029046B" w:rsidRPr="00857EB7" w:rsidRDefault="0029046B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29046B" w:rsidRPr="00857EB7" w:rsidRDefault="0029046B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>Our class will operate and perform with a higher degree of achievement as we work together as a team.  Team members lead by example, encourage and share</w:t>
      </w:r>
      <w:r w:rsidR="006E69E0" w:rsidRPr="00857EB7">
        <w:rPr>
          <w:rFonts w:asciiTheme="majorHAnsi" w:hAnsiTheme="majorHAnsi" w:cs="SerifaStd-Bold"/>
          <w:bCs/>
          <w:szCs w:val="28"/>
        </w:rPr>
        <w:t xml:space="preserve"> both their</w:t>
      </w:r>
      <w:r w:rsidRPr="00857EB7">
        <w:rPr>
          <w:rFonts w:asciiTheme="majorHAnsi" w:hAnsiTheme="majorHAnsi" w:cs="SerifaStd-Bold"/>
          <w:bCs/>
          <w:szCs w:val="28"/>
        </w:rPr>
        <w:t xml:space="preserve"> joys and pains with one another.   </w:t>
      </w:r>
      <w:r w:rsidR="006E69E0" w:rsidRPr="00857EB7">
        <w:rPr>
          <w:rFonts w:asciiTheme="majorHAnsi" w:hAnsiTheme="majorHAnsi" w:cs="SerifaStd-Bold"/>
          <w:bCs/>
          <w:szCs w:val="28"/>
        </w:rPr>
        <w:t>Students will need to dedicate significant time outside of class and I will facilitate opportunities for collaboration by arranging study sessions.   Careful consideration will be made in an attempt to accommodate the busy schedules of students.</w:t>
      </w:r>
    </w:p>
    <w:p w:rsidR="00857EB7" w:rsidRPr="00857EB7" w:rsidRDefault="00857EB7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857EB7" w:rsidRPr="00857EB7" w:rsidRDefault="00857EB7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 xml:space="preserve">All students are expected to register and complete the AP Exam in May.  See the NHS AP coordinator </w:t>
      </w:r>
      <w:r>
        <w:rPr>
          <w:rFonts w:asciiTheme="majorHAnsi" w:hAnsiTheme="majorHAnsi" w:cs="SerifaStd-Bold"/>
          <w:bCs/>
          <w:szCs w:val="28"/>
        </w:rPr>
        <w:t>concerning any questions relating to this policy.</w:t>
      </w:r>
    </w:p>
    <w:p w:rsidR="006E69E0" w:rsidRPr="00857EB7" w:rsidRDefault="006E69E0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6E69E0" w:rsidRPr="00857EB7" w:rsidRDefault="006E69E0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/>
          <w:bCs/>
          <w:szCs w:val="28"/>
        </w:rPr>
        <w:t xml:space="preserve">Grading: </w:t>
      </w:r>
      <w:r w:rsidRPr="00857EB7">
        <w:rPr>
          <w:rFonts w:asciiTheme="majorHAnsi" w:hAnsiTheme="majorHAnsi" w:cs="SerifaStd-Bold"/>
          <w:bCs/>
          <w:szCs w:val="28"/>
        </w:rPr>
        <w:br/>
        <w:t>Exams:  90%    Homework and Participation:  10</w:t>
      </w:r>
      <w:proofErr w:type="gramStart"/>
      <w:r w:rsidRPr="00857EB7">
        <w:rPr>
          <w:rFonts w:asciiTheme="majorHAnsi" w:hAnsiTheme="majorHAnsi" w:cs="SerifaStd-Bold"/>
          <w:bCs/>
          <w:szCs w:val="28"/>
        </w:rPr>
        <w:t>%</w:t>
      </w:r>
      <w:r w:rsidR="00857EB7">
        <w:rPr>
          <w:rFonts w:asciiTheme="majorHAnsi" w:hAnsiTheme="majorHAnsi" w:cs="SerifaStd-Bold"/>
          <w:bCs/>
          <w:szCs w:val="28"/>
        </w:rPr>
        <w:t xml:space="preserve">  (</w:t>
      </w:r>
      <w:proofErr w:type="gramEnd"/>
      <w:r w:rsidR="00857EB7">
        <w:rPr>
          <w:rFonts w:asciiTheme="majorHAnsi" w:hAnsiTheme="majorHAnsi" w:cs="SerifaStd-Bold"/>
          <w:bCs/>
          <w:szCs w:val="28"/>
        </w:rPr>
        <w:t>Homework will be graded against the rubric on back.)</w:t>
      </w:r>
    </w:p>
    <w:p w:rsidR="00857EB7" w:rsidRPr="00857EB7" w:rsidRDefault="006E69E0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 xml:space="preserve">Expect exams every 2-3 weeks.   </w:t>
      </w:r>
      <w:r w:rsidR="00857EB7" w:rsidRPr="00857EB7">
        <w:rPr>
          <w:rFonts w:asciiTheme="majorHAnsi" w:hAnsiTheme="majorHAnsi" w:cs="SerifaStd-Bold"/>
          <w:bCs/>
          <w:szCs w:val="28"/>
        </w:rPr>
        <w:t>Students are able to re</w:t>
      </w:r>
      <w:r w:rsidRPr="00857EB7">
        <w:rPr>
          <w:rFonts w:asciiTheme="majorHAnsi" w:hAnsiTheme="majorHAnsi" w:cs="SerifaStd-Bold"/>
          <w:bCs/>
          <w:szCs w:val="28"/>
        </w:rPr>
        <w:t>test twice with capped scores of 90% for the first retake and 80% for the second</w:t>
      </w:r>
      <w:r w:rsidR="00857EB7" w:rsidRPr="00857EB7">
        <w:rPr>
          <w:rFonts w:asciiTheme="majorHAnsi" w:hAnsiTheme="majorHAnsi" w:cs="SerifaStd-Bold"/>
          <w:bCs/>
          <w:szCs w:val="28"/>
        </w:rPr>
        <w:t xml:space="preserve"> provided all unit homework is completed and the students pass an online corrective</w:t>
      </w:r>
      <w:r w:rsidRPr="00857EB7">
        <w:rPr>
          <w:rFonts w:asciiTheme="majorHAnsi" w:hAnsiTheme="majorHAnsi" w:cs="SerifaStd-Bold"/>
          <w:bCs/>
          <w:szCs w:val="28"/>
        </w:rPr>
        <w:t>.</w:t>
      </w:r>
    </w:p>
    <w:p w:rsidR="00857EB7" w:rsidRPr="00857EB7" w:rsidRDefault="00857EB7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857EB7" w:rsidRPr="00857EB7" w:rsidRDefault="00857EB7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/>
          <w:bCs/>
          <w:szCs w:val="28"/>
        </w:rPr>
      </w:pPr>
      <w:r w:rsidRPr="00857EB7">
        <w:rPr>
          <w:rFonts w:asciiTheme="majorHAnsi" w:hAnsiTheme="majorHAnsi" w:cs="SerifaStd-Bold"/>
          <w:b/>
          <w:bCs/>
          <w:szCs w:val="28"/>
        </w:rPr>
        <w:t>AP Practice Exams:</w:t>
      </w:r>
    </w:p>
    <w:p w:rsidR="0045578C" w:rsidRPr="00857EB7" w:rsidRDefault="00857EB7" w:rsidP="0096426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>First and second semester grades are calculated independently.</w:t>
      </w:r>
      <w:r>
        <w:rPr>
          <w:rFonts w:asciiTheme="majorHAnsi" w:hAnsiTheme="majorHAnsi" w:cs="SerifaStd-Bold"/>
          <w:bCs/>
          <w:szCs w:val="28"/>
        </w:rPr>
        <w:t xml:space="preserve">    You will take a minimum of 3 practice tests during the spring semester.  These tests will be scheduled in class</w:t>
      </w:r>
      <w:proofErr w:type="gramStart"/>
      <w:r>
        <w:rPr>
          <w:rFonts w:asciiTheme="majorHAnsi" w:hAnsiTheme="majorHAnsi" w:cs="SerifaStd-Bold"/>
          <w:bCs/>
          <w:szCs w:val="28"/>
        </w:rPr>
        <w:t>,  after</w:t>
      </w:r>
      <w:proofErr w:type="gramEnd"/>
      <w:r>
        <w:rPr>
          <w:rFonts w:asciiTheme="majorHAnsi" w:hAnsiTheme="majorHAnsi" w:cs="SerifaStd-Bold"/>
          <w:bCs/>
          <w:szCs w:val="28"/>
        </w:rPr>
        <w:t xml:space="preserve"> hours and on weekends.  Your one or two best performances on these practice tests will be entered in the gradebook and prorated according to your adjusted AP score </w:t>
      </w:r>
      <w:proofErr w:type="gramStart"/>
      <w:r>
        <w:rPr>
          <w:rFonts w:asciiTheme="majorHAnsi" w:hAnsiTheme="majorHAnsi" w:cs="SerifaStd-Bold"/>
          <w:bCs/>
          <w:szCs w:val="28"/>
        </w:rPr>
        <w:t>( 1</w:t>
      </w:r>
      <w:proofErr w:type="gramEnd"/>
      <w:r>
        <w:rPr>
          <w:rFonts w:asciiTheme="majorHAnsi" w:hAnsiTheme="majorHAnsi" w:cs="SerifaStd-Bold"/>
          <w:bCs/>
          <w:szCs w:val="28"/>
        </w:rPr>
        <w:t xml:space="preserve">-50%, 2-60%, 3-70%, 4-80%, 5-90% ).   These practice test grades will represent a maximum of 40% of your second semester grade. </w:t>
      </w:r>
    </w:p>
    <w:p w:rsidR="00857EB7" w:rsidRDefault="00857EB7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/>
          <w:bCs/>
          <w:szCs w:val="28"/>
        </w:rPr>
      </w:pPr>
    </w:p>
    <w:p w:rsidR="00857EB7" w:rsidRDefault="00857EB7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/>
          <w:bCs/>
          <w:szCs w:val="28"/>
        </w:rPr>
      </w:pPr>
      <w:r>
        <w:rPr>
          <w:rFonts w:asciiTheme="majorHAnsi" w:hAnsiTheme="majorHAnsi" w:cs="SerifaStd-Bold"/>
          <w:b/>
          <w:bCs/>
          <w:szCs w:val="28"/>
        </w:rPr>
        <w:t xml:space="preserve">Rules:  1) Respect </w:t>
      </w:r>
      <w:proofErr w:type="gramStart"/>
      <w:r>
        <w:rPr>
          <w:rFonts w:asciiTheme="majorHAnsi" w:hAnsiTheme="majorHAnsi" w:cs="SerifaStd-Bold"/>
          <w:b/>
          <w:bCs/>
          <w:szCs w:val="28"/>
        </w:rPr>
        <w:t>yourself</w:t>
      </w:r>
      <w:proofErr w:type="gramEnd"/>
      <w:r>
        <w:rPr>
          <w:rFonts w:asciiTheme="majorHAnsi" w:hAnsiTheme="majorHAnsi" w:cs="SerifaStd-Bold"/>
          <w:b/>
          <w:bCs/>
          <w:szCs w:val="28"/>
        </w:rPr>
        <w:t>, peers, and learning environment.     2) No Electronics.       3) No Food</w:t>
      </w:r>
    </w:p>
    <w:p w:rsidR="00857EB7" w:rsidRDefault="00857EB7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/>
          <w:bCs/>
          <w:szCs w:val="28"/>
        </w:rPr>
      </w:pPr>
    </w:p>
    <w:p w:rsidR="00857EB7" w:rsidRDefault="006E69E0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/>
          <w:bCs/>
          <w:szCs w:val="28"/>
        </w:rPr>
        <w:t>Communication</w:t>
      </w:r>
      <w:proofErr w:type="gramStart"/>
      <w:r w:rsidRPr="00857EB7">
        <w:rPr>
          <w:rFonts w:asciiTheme="majorHAnsi" w:hAnsiTheme="majorHAnsi" w:cs="SerifaStd-Bold"/>
          <w:b/>
          <w:bCs/>
          <w:szCs w:val="28"/>
        </w:rPr>
        <w:t>:</w:t>
      </w:r>
      <w:proofErr w:type="gramEnd"/>
      <w:r w:rsidRPr="00857EB7">
        <w:rPr>
          <w:rFonts w:asciiTheme="majorHAnsi" w:hAnsiTheme="majorHAnsi" w:cs="SerifaStd-Bold"/>
          <w:b/>
          <w:bCs/>
          <w:szCs w:val="28"/>
        </w:rPr>
        <w:br/>
      </w:r>
      <w:r w:rsidRPr="00857EB7">
        <w:rPr>
          <w:rFonts w:asciiTheme="majorHAnsi" w:hAnsiTheme="majorHAnsi" w:cs="SerifaStd-Bold"/>
          <w:bCs/>
          <w:szCs w:val="28"/>
        </w:rPr>
        <w:t>I will be utilizing Remind101.com’s texting services to communicate with students</w:t>
      </w:r>
      <w:r w:rsidR="00A950F3" w:rsidRPr="00857EB7">
        <w:rPr>
          <w:rFonts w:asciiTheme="majorHAnsi" w:hAnsiTheme="majorHAnsi" w:cs="SerifaStd-Bold"/>
          <w:bCs/>
          <w:szCs w:val="28"/>
        </w:rPr>
        <w:t xml:space="preserve">. </w:t>
      </w:r>
    </w:p>
    <w:p w:rsidR="00381186" w:rsidRDefault="00A950F3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  <w:r w:rsidRPr="00857EB7">
        <w:rPr>
          <w:rFonts w:asciiTheme="majorHAnsi" w:hAnsiTheme="majorHAnsi" w:cs="SerifaStd-Bold"/>
          <w:bCs/>
          <w:szCs w:val="28"/>
        </w:rPr>
        <w:t xml:space="preserve">To sign up text </w:t>
      </w:r>
      <w:proofErr w:type="gramStart"/>
      <w:r w:rsidR="00EA1AA0" w:rsidRPr="00EA1AA0">
        <w:rPr>
          <w:rFonts w:asciiTheme="majorHAnsi" w:hAnsiTheme="majorHAnsi" w:cs="SerifaStd-Bold"/>
          <w:bCs/>
          <w:szCs w:val="28"/>
        </w:rPr>
        <w:t>@</w:t>
      </w:r>
      <w:proofErr w:type="spellStart"/>
      <w:r w:rsidR="00EA1AA0" w:rsidRPr="00EA1AA0">
        <w:rPr>
          <w:rFonts w:asciiTheme="majorHAnsi" w:hAnsiTheme="majorHAnsi" w:cs="SerifaStd-Bold"/>
          <w:bCs/>
          <w:szCs w:val="28"/>
        </w:rPr>
        <w:t>nhsapcalc</w:t>
      </w:r>
      <w:proofErr w:type="spellEnd"/>
      <w:r w:rsidR="00EA1AA0">
        <w:rPr>
          <w:rFonts w:asciiTheme="majorHAnsi" w:hAnsiTheme="majorHAnsi" w:cs="SerifaStd-Bold"/>
          <w:bCs/>
          <w:szCs w:val="28"/>
        </w:rPr>
        <w:t xml:space="preserve">  </w:t>
      </w:r>
      <w:r w:rsidRPr="00857EB7">
        <w:rPr>
          <w:rFonts w:asciiTheme="majorHAnsi" w:hAnsiTheme="majorHAnsi" w:cs="SerifaStd-Bold"/>
          <w:bCs/>
          <w:szCs w:val="28"/>
        </w:rPr>
        <w:t>to</w:t>
      </w:r>
      <w:proofErr w:type="gramEnd"/>
      <w:r w:rsidRPr="00857EB7">
        <w:rPr>
          <w:rFonts w:asciiTheme="majorHAnsi" w:hAnsiTheme="majorHAnsi" w:cs="SerifaStd-Bold"/>
          <w:bCs/>
          <w:szCs w:val="28"/>
        </w:rPr>
        <w:t xml:space="preserve"> </w:t>
      </w:r>
      <w:r w:rsidR="00EA1AA0" w:rsidRPr="00EA1AA0">
        <w:rPr>
          <w:rFonts w:asciiTheme="majorHAnsi" w:hAnsiTheme="majorHAnsi" w:cs="SerifaStd-Bold"/>
          <w:bCs/>
          <w:szCs w:val="28"/>
        </w:rPr>
        <w:t>(805) 491-4195</w:t>
      </w:r>
      <w:r w:rsidR="00EA1AA0">
        <w:rPr>
          <w:rFonts w:asciiTheme="majorHAnsi" w:hAnsiTheme="majorHAnsi" w:cs="SerifaStd-Bold"/>
          <w:bCs/>
          <w:szCs w:val="28"/>
        </w:rPr>
        <w:t>.</w:t>
      </w:r>
    </w:p>
    <w:p w:rsidR="00857EB7" w:rsidRPr="00857EB7" w:rsidRDefault="00857EB7" w:rsidP="003811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erifaStd-Bold"/>
          <w:bCs/>
          <w:szCs w:val="28"/>
        </w:rPr>
      </w:pPr>
    </w:p>
    <w:p w:rsidR="00F0434C" w:rsidRPr="00857EB7" w:rsidRDefault="001A50F8">
      <w:pPr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</w:pPr>
      <w:r w:rsidRPr="000A770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BBD11" wp14:editId="2E60F6E4">
                <wp:simplePos x="0" y="0"/>
                <wp:positionH relativeFrom="column">
                  <wp:posOffset>-309107</wp:posOffset>
                </wp:positionH>
                <wp:positionV relativeFrom="paragraph">
                  <wp:posOffset>66040</wp:posOffset>
                </wp:positionV>
                <wp:extent cx="6953693" cy="29654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693" cy="296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0F8" w:rsidRDefault="001A50F8" w:rsidP="001A50F8"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r>
                              <w:t>I have reviewed and understand the syllabus: (Student Signature) ____________________________</w:t>
                            </w:r>
                            <w:proofErr w:type="gramStart"/>
                            <w:r>
                              <w:t>_  Date</w:t>
                            </w:r>
                            <w:proofErr w:type="gramEnd"/>
                            <w:r>
                              <w:t xml:space="preserve">: ________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.35pt;margin-top:5.2pt;width:547.5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" fillcolor="white [3201]" stroked="f" strokeweight="2pt">
                <v:textbox>
                  <w:txbxContent>
                    <w:p w:rsidR="001A50F8" w:rsidRDefault="001A50F8" w:rsidP="001A50F8">
                      <w:bookmarkStart w:id="1" w:name="_GoBack"/>
                      <w:bookmarkEnd w:id="1"/>
                      <w:r>
                        <w:t xml:space="preserve"> </w:t>
                      </w:r>
                      <w:r>
                        <w:t>I have reviewed and understand the syllabus: (Student Signature) ____________________________</w:t>
                      </w:r>
                      <w:proofErr w:type="gramStart"/>
                      <w:r>
                        <w:t>_  Date</w:t>
                      </w:r>
                      <w:proofErr w:type="gramEnd"/>
                      <w:r>
                        <w:t xml:space="preserve">: ________          </w:t>
                      </w:r>
                    </w:p>
                  </w:txbxContent>
                </v:textbox>
              </v:shape>
            </w:pict>
          </mc:Fallback>
        </mc:AlternateContent>
      </w:r>
      <w:r w:rsidR="00F0434C"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br w:type="page"/>
      </w:r>
    </w:p>
    <w:p w:rsidR="00F0434C" w:rsidRPr="00857EB7" w:rsidRDefault="00F0434C" w:rsidP="00F0434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</w:pPr>
      <w:r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lastRenderedPageBreak/>
        <w:t>Course Outline</w:t>
      </w:r>
      <w:r w:rsidRPr="00857EB7">
        <w:rPr>
          <w:rFonts w:ascii="SerifaStd-Bold" w:hAnsi="SerifaStd-Bold" w:cs="SerifaStd-Bold"/>
          <w:b/>
          <w:bCs/>
          <w:color w:val="595959" w:themeColor="text1" w:themeTint="A6"/>
          <w:sz w:val="28"/>
          <w:szCs w:val="28"/>
        </w:rPr>
        <w:br/>
      </w:r>
      <w:r w:rsidRPr="00857EB7">
        <w:rPr>
          <w:rFonts w:ascii="SerifaStd-Bold" w:hAnsi="SerifaStd-Bold" w:cs="SerifaStd-Bold"/>
          <w:b/>
          <w:bCs/>
          <w:i/>
          <w:color w:val="595959" w:themeColor="text1" w:themeTint="A6"/>
          <w:sz w:val="20"/>
          <w:szCs w:val="28"/>
        </w:rPr>
        <w:t>BC topics will be appropriately scheduled in.</w:t>
      </w:r>
    </w:p>
    <w:p w:rsidR="000B1E90" w:rsidRPr="00857EB7" w:rsidRDefault="000B1E90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Unit 1: Pre</w:t>
      </w:r>
      <w:r w:rsidR="000B1E9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-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calculus Review </w:t>
      </w:r>
    </w:p>
    <w:p w:rsidR="009A7D50" w:rsidRPr="00857EB7" w:rsidRDefault="009A7D50" w:rsidP="009A7D5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Exponential and logarithmic functions</w:t>
      </w:r>
    </w:p>
    <w:p w:rsidR="009A7D50" w:rsidRPr="00857EB7" w:rsidRDefault="009A7D50" w:rsidP="009A7D5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Logarithmic functions</w:t>
      </w:r>
    </w:p>
    <w:p w:rsidR="009A7D50" w:rsidRPr="00857EB7" w:rsidRDefault="009A7D50" w:rsidP="009A7D5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Properties of logarithms</w:t>
      </w:r>
    </w:p>
    <w:p w:rsidR="009A7D50" w:rsidRPr="00857EB7" w:rsidRDefault="009A7D50" w:rsidP="009A7D5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Exponential growth and decay</w:t>
      </w:r>
    </w:p>
    <w:p w:rsidR="009A7D50" w:rsidRPr="00857EB7" w:rsidRDefault="009A7D50" w:rsidP="009A7D5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Trigonometric functions</w:t>
      </w:r>
    </w:p>
    <w:p w:rsidR="009A7D50" w:rsidRPr="00857EB7" w:rsidRDefault="009A7D50" w:rsidP="009A7D5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Special angles</w:t>
      </w:r>
    </w:p>
    <w:p w:rsidR="009A7D50" w:rsidRPr="00857EB7" w:rsidRDefault="009A7D50" w:rsidP="009A7D5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Graphs of basic trigonometric functions</w:t>
      </w:r>
    </w:p>
    <w:p w:rsidR="009A7D50" w:rsidRPr="00857EB7" w:rsidRDefault="009A7D50" w:rsidP="009A7D50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Domain and range</w:t>
      </w:r>
    </w:p>
    <w:p w:rsidR="009A7D50" w:rsidRPr="00857EB7" w:rsidRDefault="009A7D50" w:rsidP="009A7D50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Transformations</w:t>
      </w:r>
    </w:p>
    <w:p w:rsidR="009A7D50" w:rsidRPr="00857EB7" w:rsidRDefault="009A7D50" w:rsidP="009A7D50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Inverse trigonometric functions</w:t>
      </w:r>
    </w:p>
    <w:p w:rsidR="009A7D50" w:rsidRPr="00857EB7" w:rsidRDefault="009A7D50" w:rsidP="009A7D50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Applications</w:t>
      </w:r>
    </w:p>
    <w:p w:rsidR="009F264F" w:rsidRPr="00857EB7" w:rsidRDefault="009F264F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9A7D50" w:rsidRPr="00857EB7" w:rsidRDefault="009A7D50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Unit 2:  Functions, slopes and lines.</w:t>
      </w:r>
    </w:p>
    <w:p w:rsidR="000D16E4" w:rsidRPr="00857EB7" w:rsidRDefault="000D16E4" w:rsidP="000D16E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Lines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Slope as rate of change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Parallel and perpendicular lines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Equations of lines</w:t>
      </w:r>
    </w:p>
    <w:p w:rsidR="000D16E4" w:rsidRPr="00857EB7" w:rsidRDefault="000D16E4" w:rsidP="000D16E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Functions and graphs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Functions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Domain and range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Families of functions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Piecewise functions</w:t>
      </w:r>
    </w:p>
    <w:p w:rsidR="000D16E4" w:rsidRPr="00857EB7" w:rsidRDefault="000D16E4" w:rsidP="000D16E4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Composition of functions</w:t>
      </w:r>
    </w:p>
    <w:p w:rsidR="000B1E90" w:rsidRPr="00857EB7" w:rsidRDefault="000B1E90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</w:t>
      </w:r>
      <w:r w:rsidR="009A7D5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3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: Limits and Continuity  </w:t>
      </w:r>
    </w:p>
    <w:p w:rsidR="000D16E4" w:rsidRPr="00857EB7" w:rsidRDefault="000D16E4" w:rsidP="000D16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Rates of change</w:t>
      </w:r>
    </w:p>
    <w:p w:rsidR="000D16E4" w:rsidRPr="00857EB7" w:rsidRDefault="000D16E4" w:rsidP="000D16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Limits at a point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Properties of limits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Two-sided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One-sided</w:t>
      </w:r>
    </w:p>
    <w:p w:rsidR="000D16E4" w:rsidRPr="00857EB7" w:rsidRDefault="000D16E4" w:rsidP="000D16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Limits involving infinity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Asymptotic behavior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End behavior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Properties of limits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Visualizing limits</w:t>
      </w:r>
    </w:p>
    <w:p w:rsidR="000D16E4" w:rsidRPr="00857EB7" w:rsidRDefault="000D16E4" w:rsidP="000D16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Continuity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Continuous functions</w:t>
      </w:r>
    </w:p>
    <w:p w:rsidR="000D16E4" w:rsidRPr="00857EB7" w:rsidRDefault="000D16E4" w:rsidP="000D16E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Discontinuous functions</w:t>
      </w:r>
    </w:p>
    <w:p w:rsidR="000D16E4" w:rsidRPr="00857EB7" w:rsidRDefault="000D16E4" w:rsidP="000D16E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Removable discontinuity</w:t>
      </w:r>
    </w:p>
    <w:p w:rsidR="000D16E4" w:rsidRPr="00857EB7" w:rsidRDefault="000D16E4" w:rsidP="000D16E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Jump discontinuity</w:t>
      </w:r>
    </w:p>
    <w:p w:rsidR="000D16E4" w:rsidRPr="00857EB7" w:rsidRDefault="000D16E4" w:rsidP="000D16E4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Infinite discontinuity</w:t>
      </w:r>
    </w:p>
    <w:p w:rsidR="000D16E4" w:rsidRPr="00857EB7" w:rsidRDefault="000D16E4" w:rsidP="000D16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Instantaneous rates of change</w:t>
      </w:r>
    </w:p>
    <w:p w:rsidR="000B1E90" w:rsidRPr="00857EB7" w:rsidRDefault="000B1E90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B1E90" w:rsidRPr="00857EB7" w:rsidRDefault="000B1E90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B1E90" w:rsidRPr="00857EB7" w:rsidRDefault="000B1E90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B1E90" w:rsidRPr="00857EB7" w:rsidRDefault="00F0434C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br/>
      </w: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</w:t>
      </w:r>
      <w:r w:rsidR="009A7D5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4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:</w:t>
      </w:r>
      <w:r w:rsidR="009A7D5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 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 The Derivative 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Definition of the derivative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Differentiability</w:t>
      </w:r>
    </w:p>
    <w:p w:rsidR="000D16E4" w:rsidRPr="00857EB7" w:rsidRDefault="000D16E4" w:rsidP="000D16E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Local linearity</w:t>
      </w:r>
    </w:p>
    <w:p w:rsidR="000D16E4" w:rsidRPr="00857EB7" w:rsidRDefault="000D16E4" w:rsidP="000D16E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Numeric derivatives using the calculator</w:t>
      </w:r>
    </w:p>
    <w:p w:rsidR="000D16E4" w:rsidRPr="00857EB7" w:rsidRDefault="000D16E4" w:rsidP="000D16E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Differentiability and continuity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Derivatives of algebraic functions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Derivative rules when combining functions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Applications to velocity and acceleration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Derivatives of trigonometric functions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The chain rule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Implicit derivatives</w:t>
      </w:r>
    </w:p>
    <w:p w:rsidR="000D16E4" w:rsidRPr="00857EB7" w:rsidRDefault="000D16E4" w:rsidP="000D16E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Differential method</w:t>
      </w:r>
    </w:p>
    <w:p w:rsidR="000D16E4" w:rsidRPr="00857EB7" w:rsidRDefault="000D16E4" w:rsidP="000D16E4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Italic" w:hAnsi="OfficinaSansStd-BookItalic" w:cs="OfficinaSansStd-BookItalic"/>
          <w:i/>
          <w:iCs/>
          <w:sz w:val="18"/>
        </w:rPr>
        <w:t xml:space="preserve">y’ </w:t>
      </w:r>
      <w:r w:rsidRPr="00857EB7">
        <w:rPr>
          <w:rFonts w:ascii="OfficinaSansStd-Book" w:hAnsi="OfficinaSansStd-Book" w:cs="OfficinaSansStd-Book"/>
          <w:sz w:val="18"/>
        </w:rPr>
        <w:t>method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Derivatives of inverse trigonometric functions</w:t>
      </w:r>
    </w:p>
    <w:p w:rsidR="000D16E4" w:rsidRPr="00857EB7" w:rsidRDefault="000D16E4" w:rsidP="000D16E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Derivatives of logarithmic and exponential functions</w:t>
      </w: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</w:t>
      </w:r>
      <w:r w:rsidR="009A7D5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5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: </w:t>
      </w:r>
      <w:r w:rsidR="009A7D5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Applications of the Derivative </w:t>
      </w:r>
    </w:p>
    <w:p w:rsidR="000D16E4" w:rsidRPr="00857EB7" w:rsidRDefault="000D16E4" w:rsidP="000D16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Extreme values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 xml:space="preserve">Local (relative) </w:t>
      </w:r>
      <w:proofErr w:type="spellStart"/>
      <w:r w:rsidRPr="00857EB7">
        <w:rPr>
          <w:rFonts w:ascii="OfficinaSansStd-Book" w:hAnsi="OfficinaSansStd-Book" w:cs="OfficinaSansStd-Book"/>
          <w:sz w:val="18"/>
        </w:rPr>
        <w:t>extrema</w:t>
      </w:r>
      <w:proofErr w:type="spellEnd"/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 xml:space="preserve">Global (absolute) </w:t>
      </w:r>
      <w:proofErr w:type="spellStart"/>
      <w:r w:rsidRPr="00857EB7">
        <w:rPr>
          <w:rFonts w:ascii="OfficinaSansStd-Book" w:hAnsi="OfficinaSansStd-Book" w:cs="OfficinaSansStd-Book"/>
          <w:sz w:val="18"/>
        </w:rPr>
        <w:t>extrema</w:t>
      </w:r>
      <w:proofErr w:type="spellEnd"/>
    </w:p>
    <w:p w:rsidR="000D16E4" w:rsidRPr="00857EB7" w:rsidRDefault="000D16E4" w:rsidP="000D16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Using the derivative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Mean value theorem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Rolle’s theorem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Increasing and decreasing functions</w:t>
      </w:r>
    </w:p>
    <w:p w:rsidR="000D16E4" w:rsidRPr="00857EB7" w:rsidRDefault="000D16E4" w:rsidP="000D16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Analysis of graphs using the first and second derivatives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Critical values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 xml:space="preserve">First derivative test for </w:t>
      </w:r>
      <w:proofErr w:type="spellStart"/>
      <w:r w:rsidRPr="00857EB7">
        <w:rPr>
          <w:rFonts w:ascii="OfficinaSansStd-Book" w:hAnsi="OfficinaSansStd-Book" w:cs="OfficinaSansStd-Book"/>
          <w:sz w:val="18"/>
        </w:rPr>
        <w:t>extrema</w:t>
      </w:r>
      <w:proofErr w:type="spellEnd"/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Concavity and points of inflection</w:t>
      </w:r>
    </w:p>
    <w:p w:rsidR="000D16E4" w:rsidRPr="00857EB7" w:rsidRDefault="000D16E4" w:rsidP="000D16E4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 xml:space="preserve">Second derivative test for </w:t>
      </w:r>
      <w:proofErr w:type="spellStart"/>
      <w:r w:rsidRPr="00857EB7">
        <w:rPr>
          <w:rFonts w:ascii="OfficinaSansStd-Book" w:hAnsi="OfficinaSansStd-Book" w:cs="OfficinaSansStd-Book"/>
          <w:sz w:val="18"/>
        </w:rPr>
        <w:t>extrema</w:t>
      </w:r>
      <w:proofErr w:type="spellEnd"/>
    </w:p>
    <w:p w:rsidR="000D16E4" w:rsidRPr="00857EB7" w:rsidRDefault="000D16E4" w:rsidP="000D16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Optimization problems</w:t>
      </w:r>
    </w:p>
    <w:p w:rsidR="000D16E4" w:rsidRPr="00857EB7" w:rsidRDefault="000D16E4" w:rsidP="000D16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Linearization models</w:t>
      </w:r>
    </w:p>
    <w:p w:rsidR="000D16E4" w:rsidRPr="00857EB7" w:rsidRDefault="000D16E4" w:rsidP="000D16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Related rates</w:t>
      </w: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</w:t>
      </w:r>
      <w:r w:rsidR="00F0434C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6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: The Definite Integral</w:t>
      </w:r>
    </w:p>
    <w:p w:rsidR="000D16E4" w:rsidRPr="00857EB7" w:rsidRDefault="000D16E4" w:rsidP="000D16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Approximating areas</w:t>
      </w:r>
    </w:p>
    <w:p w:rsidR="000D16E4" w:rsidRPr="00857EB7" w:rsidRDefault="000D16E4" w:rsidP="000D16E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Riemann sums</w:t>
      </w:r>
    </w:p>
    <w:p w:rsidR="000D16E4" w:rsidRPr="00857EB7" w:rsidRDefault="000D16E4" w:rsidP="000D16E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Trapezoidal rule</w:t>
      </w:r>
    </w:p>
    <w:p w:rsidR="000D16E4" w:rsidRPr="00857EB7" w:rsidRDefault="000D16E4" w:rsidP="000D16E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Definite integrals</w:t>
      </w:r>
    </w:p>
    <w:p w:rsidR="000D16E4" w:rsidRPr="00857EB7" w:rsidRDefault="000D16E4" w:rsidP="000D16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The fundamental theorem of calculus (part 1)</w:t>
      </w:r>
    </w:p>
    <w:p w:rsidR="000D16E4" w:rsidRPr="00857EB7" w:rsidRDefault="000D16E4" w:rsidP="000D16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 xml:space="preserve">Definite integrals and </w:t>
      </w:r>
      <w:proofErr w:type="spellStart"/>
      <w:r w:rsidRPr="00857EB7">
        <w:rPr>
          <w:rFonts w:ascii="OfficinaSansStd-Bold" w:hAnsi="OfficinaSansStd-Bold" w:cs="OfficinaSansStd-Bold"/>
          <w:bCs/>
          <w:sz w:val="18"/>
        </w:rPr>
        <w:t>antiderivatives</w:t>
      </w:r>
      <w:proofErr w:type="spellEnd"/>
    </w:p>
    <w:p w:rsidR="000D16E4" w:rsidRPr="00857EB7" w:rsidRDefault="000D16E4" w:rsidP="000D16E4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The average value theorem</w:t>
      </w:r>
    </w:p>
    <w:p w:rsidR="000D16E4" w:rsidRPr="00857EB7" w:rsidRDefault="000D16E4" w:rsidP="000D16E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The fundamental theorem of calculus (part 2)</w:t>
      </w:r>
    </w:p>
    <w:p w:rsidR="000B1E90" w:rsidRPr="00857EB7" w:rsidRDefault="000B1E90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</w:t>
      </w:r>
      <w:r w:rsidR="00F0434C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7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: Differential Equations and Mathematical Modeling </w:t>
      </w:r>
    </w:p>
    <w:p w:rsidR="000D16E4" w:rsidRPr="00857EB7" w:rsidRDefault="000D16E4" w:rsidP="000D16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proofErr w:type="spellStart"/>
      <w:r w:rsidRPr="00857EB7">
        <w:rPr>
          <w:rFonts w:ascii="OfficinaSansStd-Bold" w:hAnsi="OfficinaSansStd-Bold" w:cs="OfficinaSansStd-Bold"/>
          <w:bCs/>
          <w:sz w:val="18"/>
        </w:rPr>
        <w:t>Antiderivatives</w:t>
      </w:r>
      <w:proofErr w:type="spellEnd"/>
    </w:p>
    <w:p w:rsidR="000D16E4" w:rsidRPr="00857EB7" w:rsidRDefault="000D16E4" w:rsidP="000D16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 xml:space="preserve">Integration using </w:t>
      </w:r>
      <w:r w:rsidRPr="00857EB7">
        <w:rPr>
          <w:rFonts w:ascii="OfficinaSansStd-BoldItalic" w:hAnsi="OfficinaSansStd-BoldItalic" w:cs="OfficinaSansStd-BoldItalic"/>
          <w:bCs/>
          <w:i/>
          <w:iCs/>
          <w:sz w:val="18"/>
        </w:rPr>
        <w:t>u</w:t>
      </w:r>
      <w:r w:rsidRPr="00857EB7">
        <w:rPr>
          <w:rFonts w:ascii="OfficinaSansStd-Bold" w:hAnsi="OfficinaSansStd-Bold" w:cs="OfficinaSansStd-Bold"/>
          <w:bCs/>
          <w:sz w:val="18"/>
        </w:rPr>
        <w:t>-substitution</w:t>
      </w:r>
    </w:p>
    <w:p w:rsidR="000D16E4" w:rsidRPr="00857EB7" w:rsidRDefault="000D16E4" w:rsidP="000D16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Separable differential equations</w:t>
      </w:r>
    </w:p>
    <w:p w:rsidR="000D16E4" w:rsidRPr="00857EB7" w:rsidRDefault="000D16E4" w:rsidP="000D16E4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Growth and decay</w:t>
      </w:r>
    </w:p>
    <w:p w:rsidR="000D16E4" w:rsidRPr="00857EB7" w:rsidRDefault="000D16E4" w:rsidP="000D16E4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Slope fields</w:t>
      </w:r>
    </w:p>
    <w:p w:rsidR="000D16E4" w:rsidRPr="00857EB7" w:rsidRDefault="000D16E4" w:rsidP="000D16E4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General differential equations</w:t>
      </w:r>
    </w:p>
    <w:p w:rsidR="00F0434C" w:rsidRPr="00857EB7" w:rsidRDefault="00F0434C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0D16E4" w:rsidRPr="00857EB7" w:rsidRDefault="000D16E4" w:rsidP="000D16E4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</w:t>
      </w:r>
      <w:r w:rsidR="00F0434C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8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: Applications of Definite Integrals </w:t>
      </w:r>
    </w:p>
    <w:p w:rsidR="000D16E4" w:rsidRPr="00857EB7" w:rsidRDefault="000D16E4" w:rsidP="000D16E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Summing rates of change</w:t>
      </w:r>
    </w:p>
    <w:p w:rsidR="000D16E4" w:rsidRPr="00857EB7" w:rsidRDefault="000D16E4" w:rsidP="000D16E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Particle motion</w:t>
      </w:r>
    </w:p>
    <w:p w:rsidR="000D16E4" w:rsidRPr="00857EB7" w:rsidRDefault="000D16E4" w:rsidP="000D16E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Areas in the plane</w:t>
      </w:r>
    </w:p>
    <w:p w:rsidR="000D16E4" w:rsidRPr="00857EB7" w:rsidRDefault="000D16E4" w:rsidP="000D16E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Volumes</w:t>
      </w:r>
    </w:p>
    <w:p w:rsidR="000D16E4" w:rsidRPr="00857EB7" w:rsidRDefault="000D16E4" w:rsidP="000D16E4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Volumes of solids with known cross sections</w:t>
      </w:r>
    </w:p>
    <w:p w:rsidR="000D16E4" w:rsidRPr="00857EB7" w:rsidRDefault="000D16E4" w:rsidP="000D16E4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OfficinaSansStd-Book" w:hAnsi="OfficinaSansStd-Book" w:cs="OfficinaSansStd-Book"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Volumes of solids of revolution</w:t>
      </w:r>
    </w:p>
    <w:p w:rsidR="000B1E90" w:rsidRPr="00857EB7" w:rsidRDefault="000D16E4" w:rsidP="000D16E4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2520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Disk method</w:t>
      </w:r>
    </w:p>
    <w:p w:rsidR="000D16E4" w:rsidRPr="00857EB7" w:rsidRDefault="000D16E4" w:rsidP="000D16E4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2520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ok" w:hAnsi="OfficinaSansStd-Book" w:cs="OfficinaSansStd-Book"/>
          <w:sz w:val="18"/>
        </w:rPr>
        <w:t>Shell method</w:t>
      </w:r>
    </w:p>
    <w:p w:rsidR="009A7D50" w:rsidRPr="00857EB7" w:rsidRDefault="009A7D50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F0434C" w:rsidRPr="00857EB7" w:rsidRDefault="00F0434C" w:rsidP="00F0434C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AB </w:t>
      </w:r>
      <w:r w:rsidR="009F264F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Begins R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EVIEW, BC </w:t>
      </w:r>
      <w:r w:rsidR="009F264F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Begins Unit 9</w:t>
      </w:r>
    </w:p>
    <w:p w:rsidR="00F0434C" w:rsidRPr="00857EB7" w:rsidRDefault="00F0434C" w:rsidP="00F0434C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F0434C" w:rsidRPr="00857EB7" w:rsidRDefault="00F0434C" w:rsidP="00F0434C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Unit 9: BC - Polynomial Approximations and Series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Geometric series with applications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The harmonic series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Alternating series with error bound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Convergence Tests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Taylor polynomial approximation with graphical demonstration of convergence (for example, viewing graphs of various Taylor polynomials of the sine function approximating the sine curve)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iCs/>
          <w:sz w:val="18"/>
        </w:rPr>
      </w:pPr>
      <w:proofErr w:type="spellStart"/>
      <w:r w:rsidRPr="00857EB7">
        <w:rPr>
          <w:rFonts w:ascii="OfficinaSansStd-Bold" w:hAnsi="OfficinaSansStd-Bold" w:cs="OfficinaSansStd-Bold"/>
          <w:bCs/>
          <w:sz w:val="18"/>
        </w:rPr>
        <w:t>Maclaurin</w:t>
      </w:r>
      <w:proofErr w:type="spellEnd"/>
      <w:r w:rsidRPr="00857EB7">
        <w:rPr>
          <w:rFonts w:ascii="OfficinaSansStd-Bold" w:hAnsi="OfficinaSansStd-Bold" w:cs="OfficinaSansStd-Bold"/>
          <w:bCs/>
          <w:sz w:val="18"/>
        </w:rPr>
        <w:t xml:space="preserve"> series and the general Taylor series centered at </w:t>
      </w:r>
      <w:r w:rsidRPr="00857EB7">
        <w:rPr>
          <w:rFonts w:ascii="OfficinaSansStd-Bold" w:hAnsi="OfficinaSansStd-Bold" w:cs="OfficinaSansStd-Bold"/>
          <w:bCs/>
          <w:iCs/>
          <w:sz w:val="18"/>
        </w:rPr>
        <w:t xml:space="preserve">x </w:t>
      </w:r>
      <w:r w:rsidRPr="00857EB7">
        <w:rPr>
          <w:rFonts w:ascii="OfficinaSansStd-Bold" w:hAnsi="OfficinaSansStd-Bold" w:cs="OfficinaSansStd-Bold"/>
          <w:bCs/>
          <w:sz w:val="18"/>
        </w:rPr>
        <w:t xml:space="preserve">= </w:t>
      </w:r>
      <w:r w:rsidRPr="00857EB7">
        <w:rPr>
          <w:rFonts w:ascii="OfficinaSansStd-Bold" w:hAnsi="OfficinaSansStd-Bold" w:cs="OfficinaSansStd-Bold"/>
          <w:bCs/>
          <w:iCs/>
          <w:sz w:val="18"/>
        </w:rPr>
        <w:t>a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proofErr w:type="spellStart"/>
      <w:r w:rsidRPr="00857EB7">
        <w:rPr>
          <w:rFonts w:ascii="OfficinaSansStd-Bold" w:hAnsi="OfficinaSansStd-Bold" w:cs="OfficinaSansStd-Bold"/>
          <w:bCs/>
          <w:sz w:val="18"/>
        </w:rPr>
        <w:t>Maclaurin</w:t>
      </w:r>
      <w:proofErr w:type="spellEnd"/>
      <w:r w:rsidRPr="00857EB7">
        <w:rPr>
          <w:rFonts w:ascii="OfficinaSansStd-Bold" w:hAnsi="OfficinaSansStd-Bold" w:cs="OfficinaSansStd-Bold"/>
          <w:bCs/>
          <w:sz w:val="18"/>
        </w:rPr>
        <w:t xml:space="preserve"> series for the functions 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iCs/>
          <w:sz w:val="18"/>
        </w:rPr>
      </w:pPr>
      <w:r w:rsidRPr="00857EB7">
        <w:rPr>
          <w:noProof/>
          <w:sz w:val="18"/>
        </w:rPr>
        <w:drawing>
          <wp:inline distT="0" distB="0" distL="0" distR="0" wp14:anchorId="05F2A96E" wp14:editId="495A81C7">
            <wp:extent cx="1834907" cy="39340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547" cy="3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 xml:space="preserve">Formal manipulation of Taylor series and shortcuts to computing Taylor series, including substitution, differentiation, </w:t>
      </w:r>
      <w:proofErr w:type="spellStart"/>
      <w:r w:rsidRPr="00857EB7">
        <w:rPr>
          <w:rFonts w:ascii="OfficinaSansStd-Bold" w:hAnsi="OfficinaSansStd-Bold" w:cs="OfficinaSansStd-Bold"/>
          <w:bCs/>
          <w:sz w:val="18"/>
        </w:rPr>
        <w:t>antidifferentiation</w:t>
      </w:r>
      <w:proofErr w:type="spellEnd"/>
      <w:r w:rsidRPr="00857EB7">
        <w:rPr>
          <w:rFonts w:ascii="OfficinaSansStd-Bold" w:hAnsi="OfficinaSansStd-Bold" w:cs="OfficinaSansStd-Bold"/>
          <w:bCs/>
          <w:sz w:val="18"/>
        </w:rPr>
        <w:t>, and the formation of new series from known series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Functions defined by power series</w:t>
      </w:r>
    </w:p>
    <w:p w:rsidR="00F0434C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Radius and interval of convergence of power series</w:t>
      </w:r>
    </w:p>
    <w:p w:rsidR="009A7D50" w:rsidRPr="00857EB7" w:rsidRDefault="00F0434C" w:rsidP="00F0434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  <w:r w:rsidRPr="00857EB7">
        <w:rPr>
          <w:rFonts w:ascii="OfficinaSansStd-Bold" w:hAnsi="OfficinaSansStd-Bold" w:cs="OfficinaSansStd-Bold"/>
          <w:bCs/>
          <w:sz w:val="18"/>
        </w:rPr>
        <w:t>Lagrange error bound for Taylor polynomials</w:t>
      </w:r>
    </w:p>
    <w:p w:rsidR="00F0434C" w:rsidRPr="00857EB7" w:rsidRDefault="00F0434C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F0434C" w:rsidRPr="00857EB7" w:rsidRDefault="00F0434C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Cs/>
          <w:sz w:val="18"/>
        </w:rPr>
      </w:pPr>
    </w:p>
    <w:p w:rsidR="00F0434C" w:rsidRPr="00857EB7" w:rsidRDefault="00F0434C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AB REVIEW</w:t>
      </w:r>
    </w:p>
    <w:p w:rsidR="00F0434C" w:rsidRPr="00857EB7" w:rsidRDefault="00F0434C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</w:p>
    <w:p w:rsidR="009A7D50" w:rsidRPr="00857EB7" w:rsidRDefault="00F0434C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Practice Tests</w:t>
      </w:r>
    </w:p>
    <w:p w:rsidR="00F0434C" w:rsidRPr="00857EB7" w:rsidRDefault="00F0434C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</w:p>
    <w:p w:rsidR="009A7D50" w:rsidRPr="00857EB7" w:rsidRDefault="009A7D50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3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34"/>
        </w:rPr>
        <w:t>AP Test</w:t>
      </w:r>
    </w:p>
    <w:p w:rsidR="009F264F" w:rsidRPr="00857EB7" w:rsidRDefault="009F264F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</w:p>
    <w:p w:rsidR="009A7D50" w:rsidRPr="00857EB7" w:rsidRDefault="009F264F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Unit 10: Calculus </w:t>
      </w:r>
      <w:r w:rsidR="009A7D50"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>Topics</w:t>
      </w:r>
      <w:r w:rsidRPr="00857EB7"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  <w:t xml:space="preserve"> and History of Mathematics</w:t>
      </w:r>
    </w:p>
    <w:p w:rsidR="009F264F" w:rsidRPr="00857EB7" w:rsidRDefault="009F264F" w:rsidP="009A7D50">
      <w:pPr>
        <w:autoSpaceDE w:val="0"/>
        <w:autoSpaceDN w:val="0"/>
        <w:adjustRightInd w:val="0"/>
        <w:spacing w:after="0" w:line="240" w:lineRule="auto"/>
        <w:rPr>
          <w:rFonts w:ascii="OfficinaSansStd-Bold" w:hAnsi="OfficinaSansStd-Bold" w:cs="OfficinaSansStd-Bold"/>
          <w:b/>
          <w:bCs/>
          <w:color w:val="595959" w:themeColor="text1" w:themeTint="A6"/>
          <w:sz w:val="24"/>
        </w:rPr>
      </w:pPr>
    </w:p>
    <w:sectPr w:rsidR="009F264F" w:rsidRPr="00857EB7" w:rsidSect="00857EB7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fficinaSans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rifa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fficinaSans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fficinaSansStd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fficinaSansStd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D90"/>
    <w:multiLevelType w:val="hybridMultilevel"/>
    <w:tmpl w:val="0EA8B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AACE22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1F8CBF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0927"/>
    <w:multiLevelType w:val="hybridMultilevel"/>
    <w:tmpl w:val="829AB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E28A3"/>
    <w:multiLevelType w:val="hybridMultilevel"/>
    <w:tmpl w:val="4B2C37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952A6C"/>
    <w:multiLevelType w:val="hybridMultilevel"/>
    <w:tmpl w:val="1C008F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F66F8"/>
    <w:multiLevelType w:val="hybridMultilevel"/>
    <w:tmpl w:val="0E28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C4BDC"/>
    <w:multiLevelType w:val="hybridMultilevel"/>
    <w:tmpl w:val="0E4A6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977E2"/>
    <w:multiLevelType w:val="hybridMultilevel"/>
    <w:tmpl w:val="BC16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16B0D"/>
    <w:multiLevelType w:val="hybridMultilevel"/>
    <w:tmpl w:val="5AF015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46416"/>
    <w:multiLevelType w:val="hybridMultilevel"/>
    <w:tmpl w:val="AC0CF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176EB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5794F"/>
    <w:multiLevelType w:val="hybridMultilevel"/>
    <w:tmpl w:val="C0980C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EFEC1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A25F2"/>
    <w:multiLevelType w:val="hybridMultilevel"/>
    <w:tmpl w:val="35020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3F8FC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D268C"/>
    <w:multiLevelType w:val="hybridMultilevel"/>
    <w:tmpl w:val="0546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5475F2"/>
    <w:multiLevelType w:val="hybridMultilevel"/>
    <w:tmpl w:val="30688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E464F"/>
    <w:multiLevelType w:val="hybridMultilevel"/>
    <w:tmpl w:val="EC8652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227E8"/>
    <w:multiLevelType w:val="hybridMultilevel"/>
    <w:tmpl w:val="2D464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453633"/>
    <w:multiLevelType w:val="hybridMultilevel"/>
    <w:tmpl w:val="DB365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FA465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C51AE"/>
    <w:multiLevelType w:val="hybridMultilevel"/>
    <w:tmpl w:val="E2D49FBA"/>
    <w:lvl w:ilvl="0" w:tplc="0E589216">
      <w:numFmt w:val="bullet"/>
      <w:lvlText w:val="•"/>
      <w:lvlJc w:val="left"/>
      <w:pPr>
        <w:ind w:left="720" w:hanging="360"/>
      </w:pPr>
      <w:rPr>
        <w:rFonts w:ascii="OfficinaSansStd-Bold" w:eastAsiaTheme="minorHAnsi" w:hAnsi="OfficinaSansStd-Bold" w:cs="OfficinaSansStd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E76E4F"/>
    <w:multiLevelType w:val="hybridMultilevel"/>
    <w:tmpl w:val="79EE3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8A0B6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92497"/>
    <w:multiLevelType w:val="hybridMultilevel"/>
    <w:tmpl w:val="BC14CF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606D24"/>
    <w:multiLevelType w:val="hybridMultilevel"/>
    <w:tmpl w:val="9FC4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428E3"/>
    <w:multiLevelType w:val="hybridMultilevel"/>
    <w:tmpl w:val="88BE45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15"/>
  </w:num>
  <w:num w:numId="6">
    <w:abstractNumId w:val="10"/>
  </w:num>
  <w:num w:numId="7">
    <w:abstractNumId w:val="3"/>
  </w:num>
  <w:num w:numId="8">
    <w:abstractNumId w:val="17"/>
  </w:num>
  <w:num w:numId="9">
    <w:abstractNumId w:val="2"/>
  </w:num>
  <w:num w:numId="10">
    <w:abstractNumId w:val="19"/>
  </w:num>
  <w:num w:numId="11">
    <w:abstractNumId w:val="12"/>
  </w:num>
  <w:num w:numId="12">
    <w:abstractNumId w:val="6"/>
  </w:num>
  <w:num w:numId="13">
    <w:abstractNumId w:val="5"/>
  </w:num>
  <w:num w:numId="14">
    <w:abstractNumId w:val="11"/>
  </w:num>
  <w:num w:numId="15">
    <w:abstractNumId w:val="18"/>
  </w:num>
  <w:num w:numId="16">
    <w:abstractNumId w:val="13"/>
  </w:num>
  <w:num w:numId="17">
    <w:abstractNumId w:val="7"/>
  </w:num>
  <w:num w:numId="18">
    <w:abstractNumId w:val="14"/>
  </w:num>
  <w:num w:numId="19">
    <w:abstractNumId w:val="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E4"/>
    <w:rsid w:val="000B1E90"/>
    <w:rsid w:val="000D16E4"/>
    <w:rsid w:val="000D2212"/>
    <w:rsid w:val="001A50F8"/>
    <w:rsid w:val="001C2488"/>
    <w:rsid w:val="0029046B"/>
    <w:rsid w:val="00381186"/>
    <w:rsid w:val="003C76C6"/>
    <w:rsid w:val="0045578C"/>
    <w:rsid w:val="00612FDF"/>
    <w:rsid w:val="006E69E0"/>
    <w:rsid w:val="007827C9"/>
    <w:rsid w:val="00857EB7"/>
    <w:rsid w:val="0096426D"/>
    <w:rsid w:val="009A7D50"/>
    <w:rsid w:val="009F264F"/>
    <w:rsid w:val="00A950F3"/>
    <w:rsid w:val="00C71ED0"/>
    <w:rsid w:val="00EA1AA0"/>
    <w:rsid w:val="00F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3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horshov@lmusd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B. Thorshov</dc:creator>
  <cp:lastModifiedBy>Scott Thorshov</cp:lastModifiedBy>
  <cp:revision>2</cp:revision>
  <cp:lastPrinted>2014-08-20T00:20:00Z</cp:lastPrinted>
  <dcterms:created xsi:type="dcterms:W3CDTF">2014-08-20T00:20:00Z</dcterms:created>
  <dcterms:modified xsi:type="dcterms:W3CDTF">2014-08-20T00:20:00Z</dcterms:modified>
</cp:coreProperties>
</file>