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1005051407"/>
        <w:docPartObj>
          <w:docPartGallery w:val="Cover Pages"/>
          <w:docPartUnique/>
        </w:docPartObj>
      </w:sdtPr>
      <w:sdtEndPr>
        <w:rPr>
          <w:rFonts w:asciiTheme="minorHAnsi" w:eastAsiaTheme="minorHAnsi" w:hAnsiTheme="minorHAnsi" w:cstheme="minorBidi"/>
          <w:caps w:val="0"/>
          <w:sz w:val="48"/>
          <w:szCs w:val="48"/>
        </w:rPr>
      </w:sdtEndPr>
      <w:sdtContent>
        <w:tbl>
          <w:tblPr>
            <w:tblW w:w="5000" w:type="pct"/>
            <w:jc w:val="center"/>
            <w:tblLook w:val="04A0" w:firstRow="1" w:lastRow="0" w:firstColumn="1" w:lastColumn="0" w:noHBand="0" w:noVBand="1"/>
          </w:tblPr>
          <w:tblGrid>
            <w:gridCol w:w="9242"/>
          </w:tblGrid>
          <w:tr w:rsidR="00070A3A" w14:paraId="35D20515" w14:textId="77777777">
            <w:trPr>
              <w:trHeight w:val="2880"/>
              <w:jc w:val="center"/>
            </w:trPr>
            <w:tc>
              <w:tcPr>
                <w:tcW w:w="5000" w:type="pct"/>
              </w:tcPr>
              <w:p w14:paraId="69A68F3D" w14:textId="15CE62E6" w:rsidR="00070A3A" w:rsidRDefault="00070A3A">
                <w:pPr>
                  <w:pStyle w:val="NoSpacing"/>
                  <w:jc w:val="center"/>
                  <w:rPr>
                    <w:rFonts w:asciiTheme="majorHAnsi" w:eastAsiaTheme="majorEastAsia" w:hAnsiTheme="majorHAnsi" w:cstheme="majorBidi"/>
                    <w:caps/>
                  </w:rPr>
                </w:pPr>
              </w:p>
            </w:tc>
          </w:tr>
          <w:tr w:rsidR="00070A3A" w14:paraId="574EA092" w14:textId="77777777">
            <w:trPr>
              <w:trHeight w:val="1440"/>
              <w:jc w:val="center"/>
            </w:trPr>
            <w:sdt>
              <w:sdtPr>
                <w:rPr>
                  <w:rFonts w:asciiTheme="majorHAnsi" w:eastAsiaTheme="majorEastAsia" w:hAnsiTheme="majorHAnsi" w:cstheme="majorBidi"/>
                  <w:sz w:val="80"/>
                  <w:szCs w:val="80"/>
                </w:rPr>
                <w:alias w:val="Title"/>
                <w:id w:val="15524250"/>
                <w:placeholder>
                  <w:docPart w:val="F8BABC1CEE204E19BBE56670FFCB12D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5519BC03" w14:textId="10E22571" w:rsidR="00070A3A" w:rsidRDefault="00B62D3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Online Payments</w:t>
                    </w:r>
                  </w:p>
                </w:tc>
              </w:sdtContent>
            </w:sdt>
          </w:tr>
          <w:tr w:rsidR="00070A3A" w14:paraId="19128697" w14:textId="77777777">
            <w:trPr>
              <w:trHeight w:val="720"/>
              <w:jc w:val="center"/>
            </w:trPr>
            <w:tc>
              <w:tcPr>
                <w:tcW w:w="5000" w:type="pct"/>
                <w:tcBorders>
                  <w:top w:val="single" w:sz="4" w:space="0" w:color="4472C4" w:themeColor="accent1"/>
                </w:tcBorders>
                <w:vAlign w:val="center"/>
              </w:tcPr>
              <w:p w14:paraId="7E72E6F0" w14:textId="2102D7AD" w:rsidR="00070A3A" w:rsidRDefault="00070A3A">
                <w:pPr>
                  <w:pStyle w:val="NoSpacing"/>
                  <w:jc w:val="center"/>
                  <w:rPr>
                    <w:rFonts w:asciiTheme="majorHAnsi" w:eastAsiaTheme="majorEastAsia" w:hAnsiTheme="majorHAnsi" w:cstheme="majorBidi"/>
                    <w:sz w:val="44"/>
                    <w:szCs w:val="44"/>
                  </w:rPr>
                </w:pPr>
              </w:p>
            </w:tc>
          </w:tr>
          <w:tr w:rsidR="00070A3A" w14:paraId="0FDF9A84" w14:textId="77777777">
            <w:trPr>
              <w:trHeight w:val="360"/>
              <w:jc w:val="center"/>
            </w:trPr>
            <w:tc>
              <w:tcPr>
                <w:tcW w:w="5000" w:type="pct"/>
                <w:vAlign w:val="center"/>
              </w:tcPr>
              <w:p w14:paraId="76C21D01" w14:textId="77777777" w:rsidR="00070A3A" w:rsidRDefault="00070A3A">
                <w:pPr>
                  <w:pStyle w:val="NoSpacing"/>
                  <w:jc w:val="center"/>
                </w:pPr>
              </w:p>
            </w:tc>
          </w:tr>
          <w:tr w:rsidR="00070A3A" w14:paraId="37FDF730" w14:textId="77777777">
            <w:trPr>
              <w:trHeight w:val="360"/>
              <w:jc w:val="center"/>
            </w:trPr>
            <w:tc>
              <w:tcPr>
                <w:tcW w:w="5000" w:type="pct"/>
                <w:vAlign w:val="center"/>
              </w:tcPr>
              <w:p w14:paraId="103763D7" w14:textId="62DC8A48" w:rsidR="00070A3A" w:rsidRDefault="00070A3A">
                <w:pPr>
                  <w:pStyle w:val="NoSpacing"/>
                  <w:jc w:val="center"/>
                  <w:rPr>
                    <w:b/>
                    <w:bCs/>
                  </w:rPr>
                </w:pPr>
              </w:p>
            </w:tc>
          </w:tr>
          <w:tr w:rsidR="00070A3A" w14:paraId="284234CC" w14:textId="77777777">
            <w:trPr>
              <w:trHeight w:val="360"/>
              <w:jc w:val="center"/>
            </w:trPr>
            <w:tc>
              <w:tcPr>
                <w:tcW w:w="5000" w:type="pct"/>
                <w:vAlign w:val="center"/>
              </w:tcPr>
              <w:p w14:paraId="2500BC3D" w14:textId="6E20D636" w:rsidR="00070A3A" w:rsidRDefault="00070A3A">
                <w:pPr>
                  <w:pStyle w:val="NoSpacing"/>
                  <w:jc w:val="center"/>
                  <w:rPr>
                    <w:b/>
                    <w:bCs/>
                  </w:rPr>
                </w:pPr>
              </w:p>
            </w:tc>
          </w:tr>
        </w:tbl>
        <w:p w14:paraId="6CE724B3" w14:textId="12A5D0DB" w:rsidR="00902CCD" w:rsidRDefault="00902CCD" w:rsidP="004F6FDA">
          <w:pPr>
            <w:pStyle w:val="Heading1"/>
            <w:ind w:left="720"/>
          </w:pPr>
          <w:r>
            <w:t>This document is split into 3 sections:</w:t>
          </w:r>
        </w:p>
        <w:p w14:paraId="7E4A10C3" w14:textId="77777777" w:rsidR="00902CCD" w:rsidRPr="00902CCD" w:rsidRDefault="00902CCD" w:rsidP="004F6FDA">
          <w:pPr>
            <w:ind w:left="720"/>
          </w:pPr>
        </w:p>
        <w:p w14:paraId="64283D2D" w14:textId="1EE258C9" w:rsidR="00902CCD" w:rsidRDefault="00902CCD" w:rsidP="004F6FDA">
          <w:pPr>
            <w:ind w:left="720"/>
          </w:pPr>
          <w:r>
            <w:t xml:space="preserve">(1) </w:t>
          </w:r>
          <w:r w:rsidR="008574A6">
            <w:t>How to determine the fee to char</w:t>
          </w:r>
          <w:r w:rsidR="00BD301B">
            <w:t>ge a user.</w:t>
          </w:r>
        </w:p>
        <w:p w14:paraId="39C9ED6A" w14:textId="140F7DE7" w:rsidR="00902CCD" w:rsidRDefault="00902CCD" w:rsidP="00F257E4">
          <w:pPr>
            <w:ind w:left="720"/>
          </w:pPr>
          <w:r>
            <w:t xml:space="preserve">(2) </w:t>
          </w:r>
          <w:r w:rsidR="00F257E4">
            <w:t>Working with your Payment Gateway</w:t>
          </w:r>
          <w:r w:rsidR="00BD301B">
            <w:t xml:space="preserve"> to record</w:t>
          </w:r>
          <w:r>
            <w:t xml:space="preserve"> payments/refunds</w:t>
          </w:r>
          <w:r w:rsidR="00BD301B">
            <w:t xml:space="preserve"> in the system.</w:t>
          </w:r>
        </w:p>
        <w:p w14:paraId="30AB97D1" w14:textId="0D4DF692" w:rsidR="00070A3A" w:rsidRDefault="00902CCD" w:rsidP="004F6FDA">
          <w:pPr>
            <w:ind w:left="720"/>
          </w:pPr>
          <w:r>
            <w:t xml:space="preserve">(3) </w:t>
          </w:r>
          <w:r w:rsidR="00BD301B">
            <w:t>How to report</w:t>
          </w:r>
          <w:r>
            <w:t xml:space="preserve"> activity to the NES Finance system</w:t>
          </w:r>
          <w:r w:rsidR="00BD301B">
            <w:t>.</w:t>
          </w:r>
        </w:p>
        <w:p w14:paraId="1406807C" w14:textId="77777777" w:rsidR="00070A3A" w:rsidRDefault="00070A3A"/>
        <w:p w14:paraId="341D788D" w14:textId="05713282" w:rsidR="00070A3A" w:rsidRDefault="00070A3A">
          <w:pPr>
            <w:rPr>
              <w:rFonts w:asciiTheme="majorHAnsi" w:eastAsiaTheme="majorEastAsia" w:hAnsiTheme="majorHAnsi" w:cstheme="majorBidi"/>
              <w:spacing w:val="-10"/>
              <w:kern w:val="28"/>
              <w:sz w:val="48"/>
              <w:szCs w:val="48"/>
            </w:rPr>
          </w:pPr>
          <w:r>
            <w:rPr>
              <w:sz w:val="48"/>
              <w:szCs w:val="48"/>
            </w:rPr>
            <w:br w:type="page"/>
          </w:r>
        </w:p>
      </w:sdtContent>
    </w:sdt>
    <w:p w14:paraId="20C6ADA9" w14:textId="34F5AF03" w:rsidR="00B50318" w:rsidRPr="00B117B8" w:rsidRDefault="009C6FA2" w:rsidP="000C532F">
      <w:pPr>
        <w:pStyle w:val="Title"/>
        <w:numPr>
          <w:ilvl w:val="0"/>
          <w:numId w:val="9"/>
        </w:numPr>
        <w:rPr>
          <w:sz w:val="48"/>
          <w:szCs w:val="48"/>
        </w:rPr>
      </w:pPr>
      <w:r>
        <w:rPr>
          <w:sz w:val="48"/>
          <w:szCs w:val="48"/>
        </w:rPr>
        <w:lastRenderedPageBreak/>
        <w:t>Determine the Fee to Charge</w:t>
      </w:r>
    </w:p>
    <w:p w14:paraId="4A307D51" w14:textId="77777777" w:rsidR="00850AF3" w:rsidRPr="00850AF3" w:rsidRDefault="00850AF3" w:rsidP="00850AF3"/>
    <w:p w14:paraId="5F5DDFC6" w14:textId="10E1F5A0" w:rsidR="005E0A0C" w:rsidRDefault="00905FF8">
      <w:r>
        <w:t>When the system is extended to take payments, it needs to determine how much to charge the delegate</w:t>
      </w:r>
      <w:r w:rsidR="00850AF3">
        <w:t xml:space="preserve"> (if at all)</w:t>
      </w:r>
      <w:r>
        <w:t xml:space="preserve"> on a course by course basis. </w:t>
      </w:r>
      <w:r w:rsidR="005E0A0C">
        <w:t xml:space="preserve">The charging model allows for 5 different types of charge and each event </w:t>
      </w:r>
      <w:r w:rsidR="002F3A10">
        <w:t>must</w:t>
      </w:r>
      <w:r w:rsidR="005E0A0C">
        <w:t xml:space="preserve"> be tagged as belonging to one of these fiv</w:t>
      </w:r>
      <w:r w:rsidR="00850AF3">
        <w:t>e types.</w:t>
      </w:r>
    </w:p>
    <w:p w14:paraId="0100F202" w14:textId="7C7AF9A2" w:rsidR="00A302FC" w:rsidRDefault="005E0A0C">
      <w:r>
        <w:t xml:space="preserve">This flag could be held at a course “group” level if all will follow the same model/price point or at a course record level if costs are event specific. Historically it is held at a course record level and is selected by the course administrator </w:t>
      </w:r>
      <w:r w:rsidR="00850AF3">
        <w:t>before publication:</w:t>
      </w:r>
    </w:p>
    <w:p w14:paraId="1C50E064" w14:textId="77777777" w:rsidR="00A302FC" w:rsidRDefault="00A302FC" w:rsidP="00A302FC">
      <w:pPr>
        <w:pStyle w:val="Heading2"/>
      </w:pPr>
      <w:r>
        <w:t>Free</w:t>
      </w:r>
    </w:p>
    <w:p w14:paraId="65BD0F81" w14:textId="77777777" w:rsidR="00A302FC" w:rsidRDefault="005B0AE5" w:rsidP="00A302FC">
      <w:r>
        <w:t>C</w:t>
      </w:r>
      <w:r w:rsidR="00A302FC">
        <w:t>learly this event is free and that is all the system needs to know. No charge will be levied.</w:t>
      </w:r>
    </w:p>
    <w:p w14:paraId="2108AF87" w14:textId="77777777" w:rsidR="00A302FC" w:rsidRDefault="00A302FC" w:rsidP="00A302FC">
      <w:pPr>
        <w:pStyle w:val="Heading2"/>
      </w:pPr>
      <w:r>
        <w:t>Delegate Flat Fee</w:t>
      </w:r>
    </w:p>
    <w:p w14:paraId="6542A02A" w14:textId="77777777" w:rsidR="00A302FC" w:rsidRDefault="00A302FC" w:rsidP="00A302FC">
      <w:r>
        <w:t xml:space="preserve">This open event has a charge and everyone booking onto it will be charged the same amount. </w:t>
      </w:r>
    </w:p>
    <w:p w14:paraId="48074818" w14:textId="039D159D" w:rsidR="00A302FC" w:rsidRDefault="00A302FC" w:rsidP="00A302FC">
      <w:pPr>
        <w:pStyle w:val="ListParagraph"/>
        <w:numPr>
          <w:ilvl w:val="0"/>
          <w:numId w:val="1"/>
        </w:numPr>
      </w:pPr>
      <w:r>
        <w:t>The event will have a price point and that is all that needs assessed when determining the charge to levy.</w:t>
      </w:r>
    </w:p>
    <w:p w14:paraId="3C52DD03" w14:textId="62B2E8E6" w:rsidR="005E0A0C" w:rsidRDefault="005E0A0C" w:rsidP="00A302FC">
      <w:pPr>
        <w:pStyle w:val="ListParagraph"/>
        <w:numPr>
          <w:ilvl w:val="0"/>
          <w:numId w:val="1"/>
        </w:numPr>
      </w:pPr>
      <w:r>
        <w:t>This is charging at the simplest level and the length of the event has no consequence to the price.</w:t>
      </w:r>
      <w:r w:rsidR="00CE3F80">
        <w:t xml:space="preserve"> Nor does the user account role.</w:t>
      </w:r>
    </w:p>
    <w:p w14:paraId="5A659C94" w14:textId="77777777" w:rsidR="00A302FC" w:rsidRDefault="00A302FC" w:rsidP="00A302FC">
      <w:pPr>
        <w:pStyle w:val="Heading2"/>
      </w:pPr>
      <w:r>
        <w:t>Sessional Multiplier</w:t>
      </w:r>
    </w:p>
    <w:p w14:paraId="0734CE22" w14:textId="2A395B4F" w:rsidR="00A302FC" w:rsidRDefault="00A302FC" w:rsidP="00A302FC">
      <w:r>
        <w:t xml:space="preserve">This open event has a sessional charge. </w:t>
      </w:r>
      <w:r w:rsidR="00850AF3">
        <w:t xml:space="preserve">A session is defined as a 3 to 4-hour block. </w:t>
      </w:r>
      <w:r w:rsidR="00850AF3" w:rsidRPr="00850AF3">
        <w:rPr>
          <w:i/>
        </w:rPr>
        <w:t>(A whole day event might therefore be thought of as a 2-session event. An evening e</w:t>
      </w:r>
      <w:r w:rsidR="00850AF3">
        <w:rPr>
          <w:i/>
        </w:rPr>
        <w:t>vent might be thought of as a 1-</w:t>
      </w:r>
      <w:r w:rsidR="00850AF3" w:rsidRPr="00850AF3">
        <w:rPr>
          <w:i/>
        </w:rPr>
        <w:t>session event).</w:t>
      </w:r>
    </w:p>
    <w:p w14:paraId="0FD4A534" w14:textId="77777777" w:rsidR="00A302FC" w:rsidRDefault="00A302FC" w:rsidP="00A302FC">
      <w:pPr>
        <w:pStyle w:val="ListParagraph"/>
        <w:numPr>
          <w:ilvl w:val="0"/>
          <w:numId w:val="1"/>
        </w:numPr>
      </w:pPr>
      <w:r>
        <w:t xml:space="preserve">The event will have a </w:t>
      </w:r>
      <w:r w:rsidR="005F7567">
        <w:t xml:space="preserve">sessional </w:t>
      </w:r>
      <w:r>
        <w:t>price point and one or more sessions associated with it.</w:t>
      </w:r>
    </w:p>
    <w:p w14:paraId="6BD26DDE" w14:textId="50AE4196" w:rsidR="00A302FC" w:rsidRDefault="00A302FC" w:rsidP="00A302FC">
      <w:pPr>
        <w:pStyle w:val="ListParagraph"/>
        <w:numPr>
          <w:ilvl w:val="0"/>
          <w:numId w:val="1"/>
        </w:numPr>
      </w:pPr>
      <w:r>
        <w:t>The charge levied wi</w:t>
      </w:r>
      <w:r w:rsidR="0078188D">
        <w:t>ll</w:t>
      </w:r>
      <w:r>
        <w:t xml:space="preserve"> be determined by multiplying count(sessions) * </w:t>
      </w:r>
      <w:r w:rsidR="005F7567">
        <w:t>sessional</w:t>
      </w:r>
      <w:r>
        <w:t xml:space="preserve"> price point</w:t>
      </w:r>
    </w:p>
    <w:p w14:paraId="2F69A1CF" w14:textId="0D7C4C4D" w:rsidR="005E0A0C" w:rsidRDefault="005E0A0C" w:rsidP="00A302FC">
      <w:pPr>
        <w:pStyle w:val="ListParagraph"/>
        <w:numPr>
          <w:ilvl w:val="0"/>
          <w:numId w:val="1"/>
        </w:numPr>
      </w:pPr>
      <w:r>
        <w:t>This allows the system to automatically increase the charge depending on length of event.</w:t>
      </w:r>
    </w:p>
    <w:p w14:paraId="02CDBD69" w14:textId="77777777" w:rsidR="00A302FC" w:rsidRDefault="00A302FC" w:rsidP="00A302FC">
      <w:pPr>
        <w:pStyle w:val="Heading2"/>
      </w:pPr>
      <w:r>
        <w:t>Role Sessional Multiplier</w:t>
      </w:r>
    </w:p>
    <w:p w14:paraId="29E81E04" w14:textId="77777777" w:rsidR="00A302FC" w:rsidRDefault="00A302FC" w:rsidP="00A302FC">
      <w:r>
        <w:t xml:space="preserve">This open event has a sessional charge. </w:t>
      </w:r>
    </w:p>
    <w:p w14:paraId="48D45420" w14:textId="2A26FA7A" w:rsidR="00A302FC" w:rsidRDefault="00A302FC" w:rsidP="00A302FC">
      <w:pPr>
        <w:pStyle w:val="ListParagraph"/>
        <w:numPr>
          <w:ilvl w:val="0"/>
          <w:numId w:val="1"/>
        </w:numPr>
      </w:pPr>
      <w:r>
        <w:t>Each delegate has a role and that role has a</w:t>
      </w:r>
      <w:r w:rsidR="00850AF3">
        <w:t>n associated</w:t>
      </w:r>
      <w:r>
        <w:t xml:space="preserve"> price</w:t>
      </w:r>
      <w:r w:rsidR="00850AF3">
        <w:t xml:space="preserve"> point set. Roles are usually grouped (</w:t>
      </w:r>
      <w:proofErr w:type="spellStart"/>
      <w:r w:rsidR="00850AF3">
        <w:t>eg</w:t>
      </w:r>
      <w:proofErr w:type="spellEnd"/>
      <w:r w:rsidR="00850AF3">
        <w:t xml:space="preserve"> there </w:t>
      </w:r>
      <w:r w:rsidR="00956A95">
        <w:t>might be</w:t>
      </w:r>
      <w:r w:rsidR="00850AF3">
        <w:t xml:space="preserve"> a number of Dentist roles, but all exist within the group “Dentist”). The price point is usually associated with the group, not the role.</w:t>
      </w:r>
    </w:p>
    <w:p w14:paraId="14AC23D9" w14:textId="5C10E6AA" w:rsidR="00A302FC" w:rsidRDefault="00A302FC" w:rsidP="00A302FC">
      <w:pPr>
        <w:pStyle w:val="ListParagraph"/>
        <w:numPr>
          <w:ilvl w:val="0"/>
          <w:numId w:val="1"/>
        </w:numPr>
      </w:pPr>
      <w:r>
        <w:t>The charge levied wi</w:t>
      </w:r>
      <w:r w:rsidR="0078188D">
        <w:t>ll</w:t>
      </w:r>
      <w:r>
        <w:t xml:space="preserve"> be determined by multiplying count(sessions) * role price point</w:t>
      </w:r>
    </w:p>
    <w:p w14:paraId="2AE7F59A" w14:textId="73F862FB" w:rsidR="00A302FC" w:rsidRDefault="00A302FC" w:rsidP="00A302FC">
      <w:pPr>
        <w:pStyle w:val="ListParagraph"/>
        <w:numPr>
          <w:ilvl w:val="0"/>
          <w:numId w:val="1"/>
        </w:numPr>
      </w:pPr>
      <w:r>
        <w:t>It can be seen from this that different roles get charged different amounts for the same event</w:t>
      </w:r>
      <w:r w:rsidR="00850AF3">
        <w:t xml:space="preserve"> (</w:t>
      </w:r>
      <w:proofErr w:type="spellStart"/>
      <w:r w:rsidR="00850AF3">
        <w:t>eg</w:t>
      </w:r>
      <w:proofErr w:type="spellEnd"/>
      <w:r w:rsidR="00850AF3">
        <w:t xml:space="preserve"> Dentists might well have a higher role price point to Dental Nurses who sit in a different group called “DCP”)</w:t>
      </w:r>
    </w:p>
    <w:p w14:paraId="251435A1" w14:textId="0B211E0F" w:rsidR="005E0A0C" w:rsidRDefault="005E0A0C" w:rsidP="005E0A0C">
      <w:pPr>
        <w:pStyle w:val="ListParagraph"/>
        <w:numPr>
          <w:ilvl w:val="0"/>
          <w:numId w:val="1"/>
        </w:numPr>
      </w:pPr>
      <w:r>
        <w:t>It also allows the system to automatically increase the charge depending on length of event.</w:t>
      </w:r>
    </w:p>
    <w:p w14:paraId="1FC5F083" w14:textId="77777777" w:rsidR="00A302FC" w:rsidRDefault="00A302FC" w:rsidP="00A302FC">
      <w:pPr>
        <w:pStyle w:val="Heading2"/>
      </w:pPr>
      <w:r>
        <w:t>Group Flat Fee</w:t>
      </w:r>
    </w:p>
    <w:p w14:paraId="07A883B8" w14:textId="4BD6C01E" w:rsidR="00A302FC" w:rsidRDefault="00A302FC" w:rsidP="00A302FC">
      <w:r>
        <w:t>This is a closed event. It is not published but does exist as an event in the system. It is an event where NES have arranged to deliver a training course to a pre-defined group of staff (usually in their practice)</w:t>
      </w:r>
      <w:r w:rsidR="005E0A0C">
        <w:t xml:space="preserve"> by invitation only.</w:t>
      </w:r>
    </w:p>
    <w:p w14:paraId="66D1F12C" w14:textId="77777777" w:rsidR="00A302FC" w:rsidRDefault="00A302FC" w:rsidP="00A302FC">
      <w:pPr>
        <w:pStyle w:val="ListParagraph"/>
        <w:numPr>
          <w:ilvl w:val="0"/>
          <w:numId w:val="1"/>
        </w:numPr>
      </w:pPr>
      <w:r>
        <w:t>The event will have a price point and that is all that needs assessed when determining the charge to levy.</w:t>
      </w:r>
    </w:p>
    <w:p w14:paraId="1F1E2231" w14:textId="77777777" w:rsidR="00A302FC" w:rsidRDefault="00A302FC" w:rsidP="00A302FC">
      <w:pPr>
        <w:pStyle w:val="ListParagraph"/>
        <w:numPr>
          <w:ilvl w:val="0"/>
          <w:numId w:val="1"/>
        </w:numPr>
      </w:pPr>
      <w:r>
        <w:t xml:space="preserve">Payment is only taken once, from a </w:t>
      </w:r>
      <w:r w:rsidR="005F7567">
        <w:t>pre-determined delegate, on behalf of the entire group</w:t>
      </w:r>
    </w:p>
    <w:p w14:paraId="520FD07B" w14:textId="77777777" w:rsidR="006555B4" w:rsidRDefault="005F7567" w:rsidP="00694D6F">
      <w:pPr>
        <w:pStyle w:val="ListParagraph"/>
        <w:numPr>
          <w:ilvl w:val="0"/>
          <w:numId w:val="1"/>
        </w:numPr>
        <w:sectPr w:rsidR="006555B4" w:rsidSect="00070A3A">
          <w:pgSz w:w="11906" w:h="16838"/>
          <w:pgMar w:top="993" w:right="1440" w:bottom="1134" w:left="1440" w:header="708" w:footer="708" w:gutter="0"/>
          <w:pgNumType w:start="0"/>
          <w:cols w:space="708"/>
          <w:titlePg/>
          <w:docGrid w:linePitch="360"/>
        </w:sectPr>
      </w:pPr>
      <w:r>
        <w:t>Once that single payment is taken all delegates on the event are considered “booked and paid”</w:t>
      </w:r>
    </w:p>
    <w:p w14:paraId="330710D5" w14:textId="5581E4DB" w:rsidR="009C6FA2" w:rsidRDefault="00DF1D05" w:rsidP="00DF1D05">
      <w:pPr>
        <w:pStyle w:val="ListParagraph"/>
        <w:ind w:left="360"/>
        <w:jc w:val="center"/>
      </w:pPr>
      <w:bookmarkStart w:id="0" w:name="_GoBack"/>
      <w:r w:rsidRPr="00DF1D05">
        <w:rPr>
          <w:noProof/>
          <w:lang w:eastAsia="en-GB"/>
        </w:rPr>
        <w:lastRenderedPageBreak/>
        <w:drawing>
          <wp:inline distT="0" distB="0" distL="0" distR="0" wp14:anchorId="2C9627B0" wp14:editId="1CD837B0">
            <wp:extent cx="8192587" cy="4553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989" cy="4574547"/>
                    </a:xfrm>
                    <a:prstGeom prst="rect">
                      <a:avLst/>
                    </a:prstGeom>
                  </pic:spPr>
                </pic:pic>
              </a:graphicData>
            </a:graphic>
          </wp:inline>
        </w:drawing>
      </w:r>
      <w:bookmarkEnd w:id="0"/>
    </w:p>
    <w:p w14:paraId="2FD763B5" w14:textId="77777777" w:rsidR="00DC21D5" w:rsidRDefault="00DC21D5" w:rsidP="00DF1D05">
      <w:pPr>
        <w:pStyle w:val="ListParagraph"/>
        <w:ind w:left="360"/>
        <w:jc w:val="center"/>
        <w:sectPr w:rsidR="00DC21D5" w:rsidSect="00DC21D5">
          <w:pgSz w:w="16838" w:h="11906" w:orient="landscape"/>
          <w:pgMar w:top="1440" w:right="994" w:bottom="1440" w:left="1138" w:header="706" w:footer="706" w:gutter="0"/>
          <w:cols w:space="708"/>
          <w:docGrid w:linePitch="360"/>
        </w:sectPr>
      </w:pPr>
    </w:p>
    <w:p w14:paraId="31AEDC1C" w14:textId="72FB5ACD" w:rsidR="001A2B0F" w:rsidRDefault="001A2B0F" w:rsidP="00DF1D05">
      <w:pPr>
        <w:pStyle w:val="ListParagraph"/>
        <w:ind w:left="360"/>
        <w:jc w:val="center"/>
      </w:pPr>
    </w:p>
    <w:p w14:paraId="26447DC2" w14:textId="61DCCA40" w:rsidR="00150EE7" w:rsidRDefault="001A2B0F" w:rsidP="001A2B0F">
      <w:pPr>
        <w:pStyle w:val="ListParagraph"/>
        <w:ind w:left="360"/>
      </w:pPr>
      <w:r w:rsidRPr="001A2B0F">
        <w:rPr>
          <w:b/>
        </w:rPr>
        <w:t xml:space="preserve">FYI </w:t>
      </w:r>
      <w:r w:rsidR="00150EE7">
        <w:t xml:space="preserve">This gets us as far as determining what to charge a delegate. </w:t>
      </w:r>
    </w:p>
    <w:p w14:paraId="73357AD3" w14:textId="48C7D1FD" w:rsidR="00150EE7" w:rsidRDefault="00150EE7" w:rsidP="001A2B0F">
      <w:pPr>
        <w:pStyle w:val="ListParagraph"/>
        <w:ind w:left="360"/>
      </w:pPr>
      <w:r>
        <w:t xml:space="preserve">The </w:t>
      </w:r>
      <w:r w:rsidR="001A2B0F">
        <w:t xml:space="preserve">database is extended further with </w:t>
      </w:r>
      <w:r w:rsidR="00E846CA">
        <w:t>several</w:t>
      </w:r>
      <w:r w:rsidR="001A2B0F">
        <w:t xml:space="preserve"> Transaction tables that hold </w:t>
      </w:r>
      <w:r w:rsidR="00E846CA">
        <w:t>actual payment gateway data. T</w:t>
      </w:r>
      <w:r w:rsidR="001A2B0F">
        <w:t>his is covered later</w:t>
      </w:r>
    </w:p>
    <w:p w14:paraId="7EE45F4B" w14:textId="77777777" w:rsidR="009C6FA2" w:rsidRDefault="009C6FA2">
      <w:r>
        <w:br w:type="page"/>
      </w:r>
    </w:p>
    <w:p w14:paraId="33D14064" w14:textId="3AD6A65C" w:rsidR="00ED5791" w:rsidRPr="00F80D93" w:rsidRDefault="009C6FA2" w:rsidP="00C65C39">
      <w:pPr>
        <w:pStyle w:val="Title"/>
        <w:rPr>
          <w:sz w:val="36"/>
          <w:szCs w:val="36"/>
        </w:rPr>
      </w:pPr>
      <w:r w:rsidRPr="00F80D93">
        <w:rPr>
          <w:sz w:val="36"/>
          <w:szCs w:val="36"/>
        </w:rPr>
        <w:lastRenderedPageBreak/>
        <w:t xml:space="preserve">Let’s look at </w:t>
      </w:r>
      <w:r w:rsidR="002F6CD9" w:rsidRPr="00F80D93">
        <w:rPr>
          <w:sz w:val="36"/>
          <w:szCs w:val="36"/>
        </w:rPr>
        <w:t>4</w:t>
      </w:r>
      <w:r w:rsidRPr="00F80D93">
        <w:rPr>
          <w:sz w:val="36"/>
          <w:szCs w:val="36"/>
        </w:rPr>
        <w:t xml:space="preserve"> examples on NES Portal</w:t>
      </w:r>
    </w:p>
    <w:p w14:paraId="10F35A58" w14:textId="76FB8285" w:rsidR="00C65C39" w:rsidRPr="00C65C39" w:rsidRDefault="00C65C39" w:rsidP="00512AA1"/>
    <w:p w14:paraId="7A71D94D" w14:textId="65FFCEFC" w:rsidR="009C6FA2" w:rsidRDefault="009C6FA2" w:rsidP="00C65C39">
      <w:pPr>
        <w:pStyle w:val="ListParagraph"/>
        <w:ind w:left="0"/>
      </w:pPr>
      <w:r w:rsidRPr="009C6FA2">
        <w:rPr>
          <w:noProof/>
          <w:lang w:eastAsia="en-GB"/>
        </w:rPr>
        <w:drawing>
          <wp:inline distT="0" distB="0" distL="0" distR="0" wp14:anchorId="172B9F6A" wp14:editId="21B47F3A">
            <wp:extent cx="5905500" cy="147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0188" cy="1476808"/>
                    </a:xfrm>
                    <a:prstGeom prst="rect">
                      <a:avLst/>
                    </a:prstGeom>
                  </pic:spPr>
                </pic:pic>
              </a:graphicData>
            </a:graphic>
          </wp:inline>
        </w:drawing>
      </w:r>
    </w:p>
    <w:p w14:paraId="27F29875" w14:textId="2957D457" w:rsidR="009C6FA2" w:rsidRDefault="009C6FA2" w:rsidP="006555B4">
      <w:pPr>
        <w:pStyle w:val="ListParagraph"/>
        <w:ind w:left="360"/>
      </w:pPr>
    </w:p>
    <w:p w14:paraId="5BEBE7AB" w14:textId="40CCE977" w:rsidR="009C6FA2" w:rsidRDefault="009C6FA2" w:rsidP="009C6FA2">
      <w:pPr>
        <w:pStyle w:val="ListParagraph"/>
        <w:numPr>
          <w:ilvl w:val="0"/>
          <w:numId w:val="2"/>
        </w:numPr>
      </w:pPr>
      <w:bookmarkStart w:id="1" w:name="_Hlk522796727"/>
      <w:r>
        <w:t xml:space="preserve">This is an event that has been set to determine price by </w:t>
      </w:r>
      <w:r w:rsidRPr="00C65C39">
        <w:rPr>
          <w:b/>
        </w:rPr>
        <w:t xml:space="preserve">Session Multiplier </w:t>
      </w:r>
      <w:r>
        <w:t>(</w:t>
      </w: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ingType.Model</w:t>
      </w:r>
      <w:proofErr w:type="spellEnd"/>
      <w:r w:rsidRPr="009C6FA2">
        <w:rPr>
          <w:color w:val="4472C4" w:themeColor="accent1"/>
        </w:rPr>
        <w:t xml:space="preserve"> </w:t>
      </w:r>
      <w:r>
        <w:t>identifies this)</w:t>
      </w:r>
    </w:p>
    <w:p w14:paraId="4376B028" w14:textId="65078A18" w:rsidR="009C6FA2" w:rsidRPr="009C6FA2" w:rsidRDefault="009C6FA2" w:rsidP="009C6FA2">
      <w:pPr>
        <w:pStyle w:val="ListParagraph"/>
        <w:numPr>
          <w:ilvl w:val="0"/>
          <w:numId w:val="2"/>
        </w:numPr>
      </w:pP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w:t>
      </w:r>
      <w:r>
        <w:rPr>
          <w:rFonts w:ascii="Courier New" w:hAnsi="Courier New" w:cs="Courier New"/>
          <w:color w:val="4472C4" w:themeColor="accent1"/>
        </w:rPr>
        <w:t>pe.PricePoint</w:t>
      </w:r>
      <w:proofErr w:type="spellEnd"/>
      <w:r>
        <w:rPr>
          <w:rFonts w:ascii="Courier New" w:hAnsi="Courier New" w:cs="Courier New"/>
          <w:color w:val="4472C4" w:themeColor="accent1"/>
        </w:rPr>
        <w:t xml:space="preserve"> </w:t>
      </w:r>
      <w:r>
        <w:rPr>
          <w:rFonts w:cs="Courier New"/>
        </w:rPr>
        <w:t xml:space="preserve">has the value of </w:t>
      </w:r>
      <w:r w:rsidRPr="009C6FA2">
        <w:rPr>
          <w:rFonts w:cs="Courier New"/>
          <w:b/>
        </w:rPr>
        <w:t>£60.00</w:t>
      </w:r>
      <w:r>
        <w:rPr>
          <w:rFonts w:cs="Courier New"/>
        </w:rPr>
        <w:t xml:space="preserve"> in it</w:t>
      </w:r>
    </w:p>
    <w:p w14:paraId="7E882F03" w14:textId="6E2D81E2" w:rsidR="009C6FA2" w:rsidRPr="009C6FA2" w:rsidRDefault="009C6FA2" w:rsidP="009C6FA2">
      <w:pPr>
        <w:pStyle w:val="ListParagraph"/>
        <w:numPr>
          <w:ilvl w:val="0"/>
          <w:numId w:val="2"/>
        </w:numPr>
      </w:pPr>
      <w:r>
        <w:rPr>
          <w:rFonts w:ascii="Courier New" w:hAnsi="Courier New" w:cs="Courier New"/>
          <w:color w:val="4472C4" w:themeColor="accent1"/>
        </w:rPr>
        <w:t>Count(</w:t>
      </w:r>
      <w:proofErr w:type="spellStart"/>
      <w:r>
        <w:rPr>
          <w:rFonts w:ascii="Courier New" w:hAnsi="Courier New" w:cs="Courier New"/>
          <w:color w:val="4472C4" w:themeColor="accent1"/>
        </w:rPr>
        <w:t>SessionID</w:t>
      </w:r>
      <w:proofErr w:type="spellEnd"/>
      <w:r>
        <w:rPr>
          <w:rFonts w:ascii="Courier New" w:hAnsi="Courier New" w:cs="Courier New"/>
          <w:color w:val="4472C4" w:themeColor="accent1"/>
        </w:rPr>
        <w:t>)</w:t>
      </w:r>
      <w:r>
        <w:rPr>
          <w:rFonts w:cs="Courier New"/>
        </w:rPr>
        <w:t xml:space="preserve">for this </w:t>
      </w:r>
      <w:proofErr w:type="spellStart"/>
      <w:r>
        <w:rPr>
          <w:rFonts w:cs="Courier New"/>
        </w:rPr>
        <w:t>CourseID</w:t>
      </w:r>
      <w:proofErr w:type="spellEnd"/>
      <w:r>
        <w:rPr>
          <w:rFonts w:cs="Courier New"/>
        </w:rPr>
        <w:t xml:space="preserve"> tells us there is only 1 record</w:t>
      </w:r>
    </w:p>
    <w:p w14:paraId="7246926F" w14:textId="25D7FA7E" w:rsidR="009C6FA2" w:rsidRDefault="009C6FA2" w:rsidP="009C6FA2">
      <w:pPr>
        <w:pStyle w:val="ListParagraph"/>
        <w:numPr>
          <w:ilvl w:val="0"/>
          <w:numId w:val="2"/>
        </w:numPr>
      </w:pPr>
      <w:r>
        <w:t xml:space="preserve">It’s therefore </w:t>
      </w:r>
      <w:r w:rsidR="00C65C39">
        <w:t>a 1 session event char</w:t>
      </w:r>
      <w:r>
        <w:t xml:space="preserve">ging </w:t>
      </w:r>
      <w:r w:rsidRPr="00512AA1">
        <w:rPr>
          <w:b/>
        </w:rPr>
        <w:t>£60.00</w:t>
      </w:r>
      <w:r w:rsidR="00512AA1" w:rsidRPr="00512AA1">
        <w:rPr>
          <w:b/>
        </w:rPr>
        <w:t xml:space="preserve"> </w:t>
      </w:r>
      <w:r w:rsidR="00512AA1">
        <w:t>to anyone wishing to book it.</w:t>
      </w:r>
    </w:p>
    <w:bookmarkEnd w:id="1"/>
    <w:p w14:paraId="717C442B" w14:textId="0106A1BC" w:rsidR="00C65C39" w:rsidRDefault="00C65C39" w:rsidP="00C65C39"/>
    <w:p w14:paraId="42AA21C9" w14:textId="6C90F603" w:rsidR="00C65C39" w:rsidRDefault="00C65C39" w:rsidP="00C65C39">
      <w:r w:rsidRPr="00C65C39">
        <w:rPr>
          <w:noProof/>
          <w:lang w:eastAsia="en-GB"/>
        </w:rPr>
        <w:drawing>
          <wp:inline distT="0" distB="0" distL="0" distR="0" wp14:anchorId="21C95C39" wp14:editId="4C380818">
            <wp:extent cx="5457825" cy="14250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8240" cy="1443485"/>
                    </a:xfrm>
                    <a:prstGeom prst="rect">
                      <a:avLst/>
                    </a:prstGeom>
                  </pic:spPr>
                </pic:pic>
              </a:graphicData>
            </a:graphic>
          </wp:inline>
        </w:drawing>
      </w:r>
    </w:p>
    <w:p w14:paraId="5C21DFFE" w14:textId="5E1F49A7" w:rsidR="00C65C39" w:rsidRDefault="00C65C39" w:rsidP="00C65C39">
      <w:pPr>
        <w:pStyle w:val="ListParagraph"/>
        <w:numPr>
          <w:ilvl w:val="0"/>
          <w:numId w:val="2"/>
        </w:numPr>
      </w:pPr>
      <w:r>
        <w:t xml:space="preserve">This is an event that has been set to determine price by </w:t>
      </w:r>
      <w:r w:rsidRPr="00C65C39">
        <w:rPr>
          <w:b/>
        </w:rPr>
        <w:t xml:space="preserve">Role Session Multiplier </w:t>
      </w:r>
      <w:r>
        <w:t>(</w:t>
      </w: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ingType.Model</w:t>
      </w:r>
      <w:proofErr w:type="spellEnd"/>
      <w:r w:rsidRPr="009C6FA2">
        <w:rPr>
          <w:color w:val="4472C4" w:themeColor="accent1"/>
        </w:rPr>
        <w:t xml:space="preserve"> </w:t>
      </w:r>
      <w:r>
        <w:t>identifies this)</w:t>
      </w:r>
    </w:p>
    <w:p w14:paraId="1A9B0AA3" w14:textId="69B18A63" w:rsidR="00C65C39" w:rsidRPr="00C65C39" w:rsidRDefault="00C65C39" w:rsidP="00C65C39">
      <w:pPr>
        <w:pStyle w:val="ListParagraph"/>
        <w:numPr>
          <w:ilvl w:val="0"/>
          <w:numId w:val="2"/>
        </w:numPr>
      </w:pP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w:t>
      </w:r>
      <w:r>
        <w:rPr>
          <w:rFonts w:ascii="Courier New" w:hAnsi="Courier New" w:cs="Courier New"/>
          <w:color w:val="4472C4" w:themeColor="accent1"/>
        </w:rPr>
        <w:t>pe.PricePoint</w:t>
      </w:r>
      <w:proofErr w:type="spellEnd"/>
      <w:r>
        <w:rPr>
          <w:rFonts w:ascii="Courier New" w:hAnsi="Courier New" w:cs="Courier New"/>
          <w:color w:val="4472C4" w:themeColor="accent1"/>
        </w:rPr>
        <w:t xml:space="preserve"> </w:t>
      </w:r>
      <w:r>
        <w:rPr>
          <w:rFonts w:cs="Courier New"/>
        </w:rPr>
        <w:t xml:space="preserve">will be set to </w:t>
      </w:r>
      <w:r w:rsidR="00512AA1">
        <w:rPr>
          <w:rFonts w:cs="Courier New"/>
        </w:rPr>
        <w:t>£</w:t>
      </w:r>
      <w:r>
        <w:rPr>
          <w:rFonts w:cs="Courier New"/>
        </w:rPr>
        <w:t>0.00 and should be ignored</w:t>
      </w:r>
    </w:p>
    <w:p w14:paraId="1C971D88" w14:textId="1F4268EF" w:rsidR="00C65C39" w:rsidRPr="00C65C39" w:rsidRDefault="00C65C39" w:rsidP="00C65C39">
      <w:pPr>
        <w:pStyle w:val="ListParagraph"/>
        <w:numPr>
          <w:ilvl w:val="0"/>
          <w:numId w:val="2"/>
        </w:numPr>
      </w:pPr>
      <w:r w:rsidRPr="00C65C39">
        <w:rPr>
          <w:rFonts w:cs="Courier New"/>
        </w:rPr>
        <w:t>This user</w:t>
      </w:r>
      <w:r>
        <w:rPr>
          <w:rFonts w:cs="Courier New"/>
        </w:rPr>
        <w:t xml:space="preserve"> has a role of Dentist (</w:t>
      </w:r>
      <w:proofErr w:type="spellStart"/>
      <w:r w:rsidR="00252025">
        <w:rPr>
          <w:rFonts w:cs="Courier New"/>
        </w:rPr>
        <w:t>SpR</w:t>
      </w:r>
      <w:proofErr w:type="spellEnd"/>
      <w:r>
        <w:rPr>
          <w:rFonts w:cs="Courier New"/>
        </w:rPr>
        <w:t>). It belongs to the Dentist Group</w:t>
      </w:r>
    </w:p>
    <w:p w14:paraId="51E081A1" w14:textId="422B5576" w:rsidR="00C65C39" w:rsidRPr="009C6FA2" w:rsidRDefault="00C65C39" w:rsidP="00C65C39">
      <w:pPr>
        <w:pStyle w:val="ListParagraph"/>
        <w:numPr>
          <w:ilvl w:val="0"/>
          <w:numId w:val="2"/>
        </w:numPr>
      </w:pPr>
      <w:proofErr w:type="spellStart"/>
      <w:r>
        <w:rPr>
          <w:rFonts w:ascii="Courier New" w:hAnsi="Courier New" w:cs="Courier New"/>
          <w:color w:val="4472C4" w:themeColor="accent1"/>
        </w:rPr>
        <w:t>Group.PricePoint</w:t>
      </w:r>
      <w:proofErr w:type="spellEnd"/>
      <w:r>
        <w:rPr>
          <w:rFonts w:ascii="Courier New" w:hAnsi="Courier New" w:cs="Courier New"/>
          <w:color w:val="4472C4" w:themeColor="accent1"/>
        </w:rPr>
        <w:t xml:space="preserve"> </w:t>
      </w:r>
      <w:r>
        <w:rPr>
          <w:rFonts w:cs="Courier New"/>
        </w:rPr>
        <w:t xml:space="preserve">has the value of </w:t>
      </w:r>
      <w:r>
        <w:rPr>
          <w:rFonts w:cs="Courier New"/>
          <w:b/>
        </w:rPr>
        <w:t>£4</w:t>
      </w:r>
      <w:r w:rsidRPr="009C6FA2">
        <w:rPr>
          <w:rFonts w:cs="Courier New"/>
          <w:b/>
        </w:rPr>
        <w:t>0.00</w:t>
      </w:r>
      <w:r>
        <w:rPr>
          <w:rFonts w:cs="Courier New"/>
        </w:rPr>
        <w:t xml:space="preserve"> in it for the Dentist Group</w:t>
      </w:r>
    </w:p>
    <w:p w14:paraId="48F3D041" w14:textId="1F1A6A95" w:rsidR="00C65C39" w:rsidRPr="009C6FA2" w:rsidRDefault="00C65C39" w:rsidP="00C65C39">
      <w:pPr>
        <w:pStyle w:val="ListParagraph"/>
        <w:numPr>
          <w:ilvl w:val="0"/>
          <w:numId w:val="2"/>
        </w:numPr>
      </w:pPr>
      <w:r>
        <w:rPr>
          <w:rFonts w:ascii="Courier New" w:hAnsi="Courier New" w:cs="Courier New"/>
          <w:color w:val="4472C4" w:themeColor="accent1"/>
        </w:rPr>
        <w:t>Count(</w:t>
      </w:r>
      <w:proofErr w:type="spellStart"/>
      <w:r>
        <w:rPr>
          <w:rFonts w:ascii="Courier New" w:hAnsi="Courier New" w:cs="Courier New"/>
          <w:color w:val="4472C4" w:themeColor="accent1"/>
        </w:rPr>
        <w:t>SessionID</w:t>
      </w:r>
      <w:proofErr w:type="spellEnd"/>
      <w:r>
        <w:rPr>
          <w:rFonts w:ascii="Courier New" w:hAnsi="Courier New" w:cs="Courier New"/>
          <w:color w:val="4472C4" w:themeColor="accent1"/>
        </w:rPr>
        <w:t>)</w:t>
      </w:r>
      <w:r>
        <w:rPr>
          <w:rFonts w:cs="Courier New"/>
        </w:rPr>
        <w:t xml:space="preserve">for this </w:t>
      </w:r>
      <w:proofErr w:type="spellStart"/>
      <w:r>
        <w:rPr>
          <w:rFonts w:cs="Courier New"/>
        </w:rPr>
        <w:t>CourseID</w:t>
      </w:r>
      <w:proofErr w:type="spellEnd"/>
      <w:r>
        <w:rPr>
          <w:rFonts w:cs="Courier New"/>
        </w:rPr>
        <w:t xml:space="preserve"> tells us there are 2 records</w:t>
      </w:r>
    </w:p>
    <w:p w14:paraId="4C891A90" w14:textId="6DCF4EF2" w:rsidR="00C65C39" w:rsidRDefault="00C65C39" w:rsidP="00C65C39">
      <w:pPr>
        <w:pStyle w:val="ListParagraph"/>
        <w:numPr>
          <w:ilvl w:val="0"/>
          <w:numId w:val="2"/>
        </w:numPr>
      </w:pPr>
      <w:r>
        <w:t>It’s therefore a 2-session event changing £40.00 per session for Dentists</w:t>
      </w:r>
    </w:p>
    <w:p w14:paraId="20B06E1A" w14:textId="3F3D1864" w:rsidR="00C65C39" w:rsidRDefault="00C65C39" w:rsidP="00C65C39">
      <w:pPr>
        <w:pStyle w:val="ListParagraph"/>
        <w:numPr>
          <w:ilvl w:val="0"/>
          <w:numId w:val="2"/>
        </w:numPr>
      </w:pPr>
      <w:r>
        <w:t xml:space="preserve">The course is offered to this user at </w:t>
      </w:r>
      <w:r w:rsidRPr="00C65C39">
        <w:rPr>
          <w:b/>
        </w:rPr>
        <w:t>£80.00</w:t>
      </w:r>
    </w:p>
    <w:p w14:paraId="415C38F1" w14:textId="77777777" w:rsidR="00512AA1" w:rsidRDefault="00512AA1" w:rsidP="009F39C7"/>
    <w:p w14:paraId="7D8698CD" w14:textId="21BBEC12" w:rsidR="009F39C7" w:rsidRDefault="009F39C7" w:rsidP="009F39C7">
      <w:r>
        <w:t xml:space="preserve">Looking at the same event as above </w:t>
      </w:r>
      <w:r w:rsidR="00104E59">
        <w:t xml:space="preserve">but this time </w:t>
      </w:r>
      <w:r>
        <w:t>with an account type of Dental Nurse…</w:t>
      </w:r>
    </w:p>
    <w:p w14:paraId="2FA0DAF2" w14:textId="77777777" w:rsidR="009F39C7" w:rsidRDefault="009F39C7" w:rsidP="009F39C7">
      <w:pPr>
        <w:pStyle w:val="ListParagraph"/>
        <w:numPr>
          <w:ilvl w:val="0"/>
          <w:numId w:val="2"/>
        </w:numPr>
      </w:pPr>
      <w:r>
        <w:t xml:space="preserve">This is an event that has been set to determine price by </w:t>
      </w:r>
      <w:r w:rsidRPr="00C65C39">
        <w:rPr>
          <w:b/>
        </w:rPr>
        <w:t xml:space="preserve">Role Session Multiplier </w:t>
      </w:r>
      <w:r>
        <w:t>(</w:t>
      </w: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ingType.Model</w:t>
      </w:r>
      <w:proofErr w:type="spellEnd"/>
      <w:r w:rsidRPr="009C6FA2">
        <w:rPr>
          <w:color w:val="4472C4" w:themeColor="accent1"/>
        </w:rPr>
        <w:t xml:space="preserve"> </w:t>
      </w:r>
      <w:r>
        <w:t>identifies this)</w:t>
      </w:r>
    </w:p>
    <w:p w14:paraId="48FC5419" w14:textId="5B16F744" w:rsidR="009F39C7" w:rsidRPr="00C65C39" w:rsidRDefault="009F39C7" w:rsidP="009F39C7">
      <w:pPr>
        <w:pStyle w:val="ListParagraph"/>
        <w:numPr>
          <w:ilvl w:val="0"/>
          <w:numId w:val="2"/>
        </w:numPr>
      </w:pP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w:t>
      </w:r>
      <w:r>
        <w:rPr>
          <w:rFonts w:ascii="Courier New" w:hAnsi="Courier New" w:cs="Courier New"/>
          <w:color w:val="4472C4" w:themeColor="accent1"/>
        </w:rPr>
        <w:t>pe.PricePoint</w:t>
      </w:r>
      <w:proofErr w:type="spellEnd"/>
      <w:r>
        <w:rPr>
          <w:rFonts w:ascii="Courier New" w:hAnsi="Courier New" w:cs="Courier New"/>
          <w:color w:val="4472C4" w:themeColor="accent1"/>
        </w:rPr>
        <w:t xml:space="preserve"> </w:t>
      </w:r>
      <w:r>
        <w:rPr>
          <w:rFonts w:cs="Courier New"/>
        </w:rPr>
        <w:t xml:space="preserve">will be set to </w:t>
      </w:r>
      <w:r w:rsidR="00512AA1">
        <w:rPr>
          <w:rFonts w:cs="Courier New"/>
        </w:rPr>
        <w:t>£</w:t>
      </w:r>
      <w:r>
        <w:rPr>
          <w:rFonts w:cs="Courier New"/>
        </w:rPr>
        <w:t>0.00 and should be ignored</w:t>
      </w:r>
    </w:p>
    <w:p w14:paraId="1333294A" w14:textId="0F6F7C5C" w:rsidR="009F39C7" w:rsidRPr="00C65C39" w:rsidRDefault="009F39C7" w:rsidP="009F39C7">
      <w:pPr>
        <w:pStyle w:val="ListParagraph"/>
        <w:numPr>
          <w:ilvl w:val="0"/>
          <w:numId w:val="2"/>
        </w:numPr>
      </w:pPr>
      <w:r w:rsidRPr="00C65C39">
        <w:rPr>
          <w:rFonts w:cs="Courier New"/>
        </w:rPr>
        <w:t>This user</w:t>
      </w:r>
      <w:r>
        <w:rPr>
          <w:rFonts w:cs="Courier New"/>
        </w:rPr>
        <w:t xml:space="preserve"> has a role of Dental Nurse. It belongs to the DCP Group</w:t>
      </w:r>
    </w:p>
    <w:p w14:paraId="2CC3A612" w14:textId="6E088BB5" w:rsidR="009F39C7" w:rsidRPr="009C6FA2" w:rsidRDefault="009F39C7" w:rsidP="009F39C7">
      <w:pPr>
        <w:pStyle w:val="ListParagraph"/>
        <w:numPr>
          <w:ilvl w:val="0"/>
          <w:numId w:val="2"/>
        </w:numPr>
      </w:pPr>
      <w:proofErr w:type="spellStart"/>
      <w:r>
        <w:rPr>
          <w:rFonts w:ascii="Courier New" w:hAnsi="Courier New" w:cs="Courier New"/>
          <w:color w:val="4472C4" w:themeColor="accent1"/>
        </w:rPr>
        <w:t>Group.PricePoint</w:t>
      </w:r>
      <w:proofErr w:type="spellEnd"/>
      <w:r>
        <w:rPr>
          <w:rFonts w:ascii="Courier New" w:hAnsi="Courier New" w:cs="Courier New"/>
          <w:color w:val="4472C4" w:themeColor="accent1"/>
        </w:rPr>
        <w:t xml:space="preserve"> </w:t>
      </w:r>
      <w:r>
        <w:rPr>
          <w:rFonts w:cs="Courier New"/>
        </w:rPr>
        <w:t xml:space="preserve">has the value of </w:t>
      </w:r>
      <w:r>
        <w:rPr>
          <w:rFonts w:cs="Courier New"/>
          <w:b/>
        </w:rPr>
        <w:t>£15</w:t>
      </w:r>
      <w:r w:rsidRPr="009C6FA2">
        <w:rPr>
          <w:rFonts w:cs="Courier New"/>
          <w:b/>
        </w:rPr>
        <w:t>.00</w:t>
      </w:r>
      <w:r>
        <w:rPr>
          <w:rFonts w:cs="Courier New"/>
        </w:rPr>
        <w:t xml:space="preserve"> in it for the D</w:t>
      </w:r>
      <w:r w:rsidR="00AB30B2">
        <w:rPr>
          <w:rFonts w:cs="Courier New"/>
        </w:rPr>
        <w:t xml:space="preserve">CP </w:t>
      </w:r>
      <w:r>
        <w:rPr>
          <w:rFonts w:cs="Courier New"/>
        </w:rPr>
        <w:t>Group</w:t>
      </w:r>
    </w:p>
    <w:p w14:paraId="68C6BE21" w14:textId="77777777" w:rsidR="009F39C7" w:rsidRPr="009C6FA2" w:rsidRDefault="009F39C7" w:rsidP="009F39C7">
      <w:pPr>
        <w:pStyle w:val="ListParagraph"/>
        <w:numPr>
          <w:ilvl w:val="0"/>
          <w:numId w:val="2"/>
        </w:numPr>
      </w:pPr>
      <w:r>
        <w:rPr>
          <w:rFonts w:ascii="Courier New" w:hAnsi="Courier New" w:cs="Courier New"/>
          <w:color w:val="4472C4" w:themeColor="accent1"/>
        </w:rPr>
        <w:t>Count(</w:t>
      </w:r>
      <w:proofErr w:type="spellStart"/>
      <w:r>
        <w:rPr>
          <w:rFonts w:ascii="Courier New" w:hAnsi="Courier New" w:cs="Courier New"/>
          <w:color w:val="4472C4" w:themeColor="accent1"/>
        </w:rPr>
        <w:t>SessionID</w:t>
      </w:r>
      <w:proofErr w:type="spellEnd"/>
      <w:r>
        <w:rPr>
          <w:rFonts w:ascii="Courier New" w:hAnsi="Courier New" w:cs="Courier New"/>
          <w:color w:val="4472C4" w:themeColor="accent1"/>
        </w:rPr>
        <w:t>)</w:t>
      </w:r>
      <w:r>
        <w:rPr>
          <w:rFonts w:cs="Courier New"/>
        </w:rPr>
        <w:t xml:space="preserve">for this </w:t>
      </w:r>
      <w:proofErr w:type="spellStart"/>
      <w:r>
        <w:rPr>
          <w:rFonts w:cs="Courier New"/>
        </w:rPr>
        <w:t>CourseID</w:t>
      </w:r>
      <w:proofErr w:type="spellEnd"/>
      <w:r>
        <w:rPr>
          <w:rFonts w:cs="Courier New"/>
        </w:rPr>
        <w:t xml:space="preserve"> tells us there are 2 records</w:t>
      </w:r>
    </w:p>
    <w:p w14:paraId="2B78DDAB" w14:textId="2738F034" w:rsidR="009F39C7" w:rsidRDefault="009F39C7" w:rsidP="009F39C7">
      <w:pPr>
        <w:pStyle w:val="ListParagraph"/>
        <w:numPr>
          <w:ilvl w:val="0"/>
          <w:numId w:val="2"/>
        </w:numPr>
      </w:pPr>
      <w:r>
        <w:t>It’s therefore a 2-session event changing £</w:t>
      </w:r>
      <w:r w:rsidR="00AB30B2">
        <w:t>15</w:t>
      </w:r>
      <w:r>
        <w:t>.00</w:t>
      </w:r>
      <w:r w:rsidR="00104E59">
        <w:t xml:space="preserve"> per session for Dental Nurses</w:t>
      </w:r>
    </w:p>
    <w:p w14:paraId="48BF7794" w14:textId="434E2603" w:rsidR="00C65C39" w:rsidRPr="005D0F43" w:rsidRDefault="009F39C7" w:rsidP="00C65C39">
      <w:pPr>
        <w:pStyle w:val="ListParagraph"/>
        <w:numPr>
          <w:ilvl w:val="0"/>
          <w:numId w:val="2"/>
        </w:numPr>
      </w:pPr>
      <w:r>
        <w:t xml:space="preserve">The </w:t>
      </w:r>
      <w:r w:rsidR="00104E59">
        <w:t xml:space="preserve">same </w:t>
      </w:r>
      <w:r>
        <w:t xml:space="preserve">course is offered to this user at </w:t>
      </w:r>
      <w:r w:rsidR="00AB30B2">
        <w:rPr>
          <w:b/>
        </w:rPr>
        <w:t>£3</w:t>
      </w:r>
      <w:r w:rsidRPr="00C65C39">
        <w:rPr>
          <w:b/>
        </w:rPr>
        <w:t>0.00</w:t>
      </w:r>
    </w:p>
    <w:p w14:paraId="28151277" w14:textId="64FD19BD" w:rsidR="005D0F43" w:rsidRDefault="005D0F43" w:rsidP="005D0F43">
      <w:r w:rsidRPr="005D0F43">
        <w:rPr>
          <w:noProof/>
          <w:lang w:eastAsia="en-GB"/>
        </w:rPr>
        <w:lastRenderedPageBreak/>
        <w:drawing>
          <wp:inline distT="0" distB="0" distL="0" distR="0" wp14:anchorId="6F00A2E7" wp14:editId="3E149408">
            <wp:extent cx="5731510" cy="1353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3185"/>
                    </a:xfrm>
                    <a:prstGeom prst="rect">
                      <a:avLst/>
                    </a:prstGeom>
                  </pic:spPr>
                </pic:pic>
              </a:graphicData>
            </a:graphic>
          </wp:inline>
        </w:drawing>
      </w:r>
    </w:p>
    <w:p w14:paraId="123BAF62" w14:textId="41B67712" w:rsidR="005D0F43" w:rsidRDefault="005D0F43" w:rsidP="00512AA7">
      <w:pPr>
        <w:pStyle w:val="ListParagraph"/>
        <w:numPr>
          <w:ilvl w:val="0"/>
          <w:numId w:val="2"/>
        </w:numPr>
        <w:spacing w:line="276" w:lineRule="auto"/>
      </w:pPr>
      <w:r>
        <w:t xml:space="preserve">This is a </w:t>
      </w:r>
      <w:r w:rsidRPr="00D90284">
        <w:rPr>
          <w:b/>
        </w:rPr>
        <w:t>Free</w:t>
      </w:r>
      <w:r>
        <w:t xml:space="preserve"> Event</w:t>
      </w:r>
      <w:r w:rsidRPr="00C65C39">
        <w:rPr>
          <w:b/>
        </w:rPr>
        <w:t xml:space="preserve"> </w:t>
      </w:r>
      <w:r>
        <w:t>(</w:t>
      </w: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ingType.Model</w:t>
      </w:r>
      <w:proofErr w:type="spellEnd"/>
      <w:r w:rsidRPr="009C6FA2">
        <w:rPr>
          <w:color w:val="4472C4" w:themeColor="accent1"/>
        </w:rPr>
        <w:t xml:space="preserve"> </w:t>
      </w:r>
      <w:r>
        <w:t>identifies this)</w:t>
      </w:r>
    </w:p>
    <w:p w14:paraId="16C3F76E" w14:textId="57093601" w:rsidR="005D0F43" w:rsidRPr="009C6FA2" w:rsidRDefault="005D0F43" w:rsidP="00512AA7">
      <w:pPr>
        <w:pStyle w:val="ListParagraph"/>
        <w:numPr>
          <w:ilvl w:val="0"/>
          <w:numId w:val="2"/>
        </w:numPr>
        <w:spacing w:line="276" w:lineRule="auto"/>
      </w:pP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w:t>
      </w:r>
      <w:r>
        <w:rPr>
          <w:rFonts w:ascii="Courier New" w:hAnsi="Courier New" w:cs="Courier New"/>
          <w:color w:val="4472C4" w:themeColor="accent1"/>
        </w:rPr>
        <w:t>pe.PricePoint</w:t>
      </w:r>
      <w:proofErr w:type="spellEnd"/>
      <w:r>
        <w:rPr>
          <w:rFonts w:ascii="Courier New" w:hAnsi="Courier New" w:cs="Courier New"/>
          <w:color w:val="4472C4" w:themeColor="accent1"/>
        </w:rPr>
        <w:t xml:space="preserve"> </w:t>
      </w:r>
      <w:r>
        <w:rPr>
          <w:rFonts w:cs="Courier New"/>
        </w:rPr>
        <w:t xml:space="preserve">has the value of </w:t>
      </w:r>
      <w:r>
        <w:rPr>
          <w:rFonts w:cs="Courier New"/>
          <w:b/>
        </w:rPr>
        <w:t>£</w:t>
      </w:r>
      <w:r w:rsidRPr="009C6FA2">
        <w:rPr>
          <w:rFonts w:cs="Courier New"/>
          <w:b/>
        </w:rPr>
        <w:t>0.00</w:t>
      </w:r>
      <w:r>
        <w:rPr>
          <w:rFonts w:cs="Courier New"/>
        </w:rPr>
        <w:t xml:space="preserve"> in it</w:t>
      </w:r>
    </w:p>
    <w:p w14:paraId="787E7BB8" w14:textId="77777777" w:rsidR="002F6CD9" w:rsidRDefault="005D0F43" w:rsidP="00512AA7">
      <w:pPr>
        <w:pStyle w:val="ListParagraph"/>
        <w:numPr>
          <w:ilvl w:val="0"/>
          <w:numId w:val="2"/>
        </w:numPr>
        <w:spacing w:line="276" w:lineRule="auto"/>
      </w:pPr>
      <w:r>
        <w:t xml:space="preserve">Nothing else needs checked. </w:t>
      </w:r>
    </w:p>
    <w:p w14:paraId="203CF89C" w14:textId="0FE2525D" w:rsidR="005D0F43" w:rsidRDefault="005D0F43" w:rsidP="00512AA7">
      <w:pPr>
        <w:pStyle w:val="ListParagraph"/>
        <w:numPr>
          <w:ilvl w:val="0"/>
          <w:numId w:val="2"/>
        </w:numPr>
        <w:spacing w:line="276" w:lineRule="auto"/>
      </w:pPr>
      <w:r>
        <w:t xml:space="preserve">The event is listed as </w:t>
      </w:r>
      <w:r w:rsidRPr="00B4215E">
        <w:rPr>
          <w:b/>
        </w:rPr>
        <w:t>Free</w:t>
      </w:r>
      <w:r>
        <w:t xml:space="preserve"> to all users</w:t>
      </w:r>
    </w:p>
    <w:p w14:paraId="14E86129" w14:textId="77777777" w:rsidR="002F6CD9" w:rsidRDefault="002F6CD9" w:rsidP="002F6CD9"/>
    <w:p w14:paraId="6945DC84" w14:textId="3EF6EFF8" w:rsidR="002F6CD9" w:rsidRDefault="002F6CD9" w:rsidP="002F6CD9">
      <w:r w:rsidRPr="002F6CD9">
        <w:rPr>
          <w:noProof/>
          <w:lang w:eastAsia="en-GB"/>
        </w:rPr>
        <w:drawing>
          <wp:inline distT="0" distB="0" distL="0" distR="0" wp14:anchorId="2260DF7A" wp14:editId="58E0B8D4">
            <wp:extent cx="5731510" cy="1351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1915"/>
                    </a:xfrm>
                    <a:prstGeom prst="rect">
                      <a:avLst/>
                    </a:prstGeom>
                  </pic:spPr>
                </pic:pic>
              </a:graphicData>
            </a:graphic>
          </wp:inline>
        </w:drawing>
      </w:r>
    </w:p>
    <w:p w14:paraId="2E97FEC4" w14:textId="10B90AF4" w:rsidR="002F6CD9" w:rsidRDefault="002F6CD9" w:rsidP="00512AA7">
      <w:pPr>
        <w:pStyle w:val="ListParagraph"/>
        <w:numPr>
          <w:ilvl w:val="0"/>
          <w:numId w:val="2"/>
        </w:numPr>
        <w:spacing w:line="276" w:lineRule="auto"/>
      </w:pPr>
      <w:r>
        <w:t xml:space="preserve">This is an event that has been set to determine price by </w:t>
      </w:r>
      <w:r>
        <w:rPr>
          <w:b/>
        </w:rPr>
        <w:t>Delegate Flat Fee</w:t>
      </w:r>
      <w:r w:rsidRPr="00C65C39">
        <w:rPr>
          <w:b/>
        </w:rPr>
        <w:t xml:space="preserve"> </w:t>
      </w:r>
      <w:r>
        <w:t>(</w:t>
      </w: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ingType.Model</w:t>
      </w:r>
      <w:proofErr w:type="spellEnd"/>
      <w:r w:rsidRPr="009C6FA2">
        <w:rPr>
          <w:color w:val="4472C4" w:themeColor="accent1"/>
        </w:rPr>
        <w:t xml:space="preserve"> </w:t>
      </w:r>
      <w:r>
        <w:t>identifies this)</w:t>
      </w:r>
    </w:p>
    <w:p w14:paraId="18157B73" w14:textId="24C60CEA" w:rsidR="002F6CD9" w:rsidRPr="002F6CD9" w:rsidRDefault="002F6CD9" w:rsidP="00512AA7">
      <w:pPr>
        <w:pStyle w:val="ListParagraph"/>
        <w:numPr>
          <w:ilvl w:val="0"/>
          <w:numId w:val="2"/>
        </w:numPr>
        <w:spacing w:line="276" w:lineRule="auto"/>
      </w:pPr>
      <w:proofErr w:type="spellStart"/>
      <w:r w:rsidRPr="009C6FA2">
        <w:rPr>
          <w:rFonts w:ascii="Courier New" w:hAnsi="Courier New" w:cs="Courier New"/>
          <w:color w:val="4472C4" w:themeColor="accent1"/>
        </w:rPr>
        <w:t>Char</w:t>
      </w:r>
      <w:r>
        <w:rPr>
          <w:rFonts w:ascii="Courier New" w:hAnsi="Courier New" w:cs="Courier New"/>
          <w:color w:val="4472C4" w:themeColor="accent1"/>
        </w:rPr>
        <w:t>g</w:t>
      </w:r>
      <w:r w:rsidRPr="009C6FA2">
        <w:rPr>
          <w:rFonts w:ascii="Courier New" w:hAnsi="Courier New" w:cs="Courier New"/>
          <w:color w:val="4472C4" w:themeColor="accent1"/>
        </w:rPr>
        <w:t>ingTy</w:t>
      </w:r>
      <w:r>
        <w:rPr>
          <w:rFonts w:ascii="Courier New" w:hAnsi="Courier New" w:cs="Courier New"/>
          <w:color w:val="4472C4" w:themeColor="accent1"/>
        </w:rPr>
        <w:t>pe.PricePoint</w:t>
      </w:r>
      <w:proofErr w:type="spellEnd"/>
      <w:r>
        <w:rPr>
          <w:rFonts w:ascii="Courier New" w:hAnsi="Courier New" w:cs="Courier New"/>
          <w:color w:val="4472C4" w:themeColor="accent1"/>
        </w:rPr>
        <w:t xml:space="preserve"> </w:t>
      </w:r>
      <w:r>
        <w:rPr>
          <w:rFonts w:cs="Courier New"/>
        </w:rPr>
        <w:t xml:space="preserve">has the value of </w:t>
      </w:r>
      <w:r>
        <w:rPr>
          <w:rFonts w:cs="Courier New"/>
          <w:b/>
        </w:rPr>
        <w:t>£15</w:t>
      </w:r>
      <w:r w:rsidRPr="009C6FA2">
        <w:rPr>
          <w:rFonts w:cs="Courier New"/>
          <w:b/>
        </w:rPr>
        <w:t>0.00</w:t>
      </w:r>
      <w:r>
        <w:rPr>
          <w:rFonts w:cs="Courier New"/>
        </w:rPr>
        <w:t xml:space="preserve"> in it.</w:t>
      </w:r>
    </w:p>
    <w:p w14:paraId="5CEA3F81" w14:textId="5942919E" w:rsidR="002F6CD9" w:rsidRPr="009C6FA2" w:rsidRDefault="002F6CD9" w:rsidP="00512AA7">
      <w:pPr>
        <w:pStyle w:val="ListParagraph"/>
        <w:numPr>
          <w:ilvl w:val="0"/>
          <w:numId w:val="2"/>
        </w:numPr>
        <w:spacing w:line="276" w:lineRule="auto"/>
      </w:pPr>
      <w:r>
        <w:t xml:space="preserve">Nothing else needs checked. </w:t>
      </w:r>
    </w:p>
    <w:p w14:paraId="708190C2" w14:textId="519A1066" w:rsidR="009429C5" w:rsidRDefault="002F6CD9" w:rsidP="00512AA7">
      <w:pPr>
        <w:pStyle w:val="ListParagraph"/>
        <w:numPr>
          <w:ilvl w:val="0"/>
          <w:numId w:val="2"/>
        </w:numPr>
        <w:spacing w:line="276" w:lineRule="auto"/>
      </w:pPr>
      <w:r>
        <w:t xml:space="preserve">It’s therefore an event charging </w:t>
      </w:r>
      <w:r>
        <w:rPr>
          <w:b/>
        </w:rPr>
        <w:t>£15</w:t>
      </w:r>
      <w:r w:rsidRPr="00512AA1">
        <w:rPr>
          <w:b/>
        </w:rPr>
        <w:t xml:space="preserve">0.00 </w:t>
      </w:r>
      <w:r>
        <w:t>to anyone wishing to book it.</w:t>
      </w:r>
    </w:p>
    <w:p w14:paraId="1E73F49F" w14:textId="77777777" w:rsidR="009429C5" w:rsidRDefault="009429C5">
      <w:r>
        <w:br w:type="page"/>
      </w:r>
    </w:p>
    <w:p w14:paraId="1389AFE7" w14:textId="2087856B" w:rsidR="00EE07BC" w:rsidRPr="000C532F" w:rsidRDefault="00E2153D" w:rsidP="000C532F">
      <w:pPr>
        <w:pStyle w:val="ListParagraph"/>
        <w:numPr>
          <w:ilvl w:val="0"/>
          <w:numId w:val="9"/>
        </w:numPr>
        <w:rPr>
          <w:rStyle w:val="TitleChar"/>
          <w:sz w:val="48"/>
          <w:szCs w:val="48"/>
        </w:rPr>
      </w:pPr>
      <w:r w:rsidRPr="000C532F">
        <w:rPr>
          <w:rStyle w:val="TitleChar"/>
          <w:sz w:val="48"/>
          <w:szCs w:val="48"/>
        </w:rPr>
        <w:lastRenderedPageBreak/>
        <w:t>Recording Payments and Refunds</w:t>
      </w:r>
    </w:p>
    <w:p w14:paraId="0F8DE515" w14:textId="2DCB7E1E" w:rsidR="002F6CD9" w:rsidRDefault="009429C5" w:rsidP="00EE07BC">
      <w:r>
        <w:rPr>
          <w:noProof/>
          <w:lang w:eastAsia="en-GB"/>
        </w:rPr>
        <w:drawing>
          <wp:inline distT="0" distB="0" distL="0" distR="0" wp14:anchorId="6141B907" wp14:editId="74B00062">
            <wp:extent cx="5731510" cy="3586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6480"/>
                    </a:xfrm>
                    <a:prstGeom prst="rect">
                      <a:avLst/>
                    </a:prstGeom>
                  </pic:spPr>
                </pic:pic>
              </a:graphicData>
            </a:graphic>
          </wp:inline>
        </w:drawing>
      </w:r>
    </w:p>
    <w:p w14:paraId="72B2233B" w14:textId="48E9C411" w:rsidR="00EE07BC" w:rsidRDefault="00EE07BC" w:rsidP="00EE07BC">
      <w:r>
        <w:t>Users expect, when any event carries a charge, to checkout once and pay for all items in the one transaction. The alternative is to checkout and pay for each event separately and this, understandably, is not what they would expect to do.</w:t>
      </w:r>
    </w:p>
    <w:p w14:paraId="41617E90" w14:textId="116F04D9" w:rsidR="00565702" w:rsidRDefault="00565702" w:rsidP="00EE07BC">
      <w:r>
        <w:t>*It is accepte</w:t>
      </w:r>
      <w:r w:rsidR="004E3A0C">
        <w:t>d however that any event that is</w:t>
      </w:r>
      <w:r>
        <w:t xml:space="preserve"> free could be booked instantly upon clicking </w:t>
      </w:r>
      <w:r w:rsidR="002763DD">
        <w:t>any</w:t>
      </w:r>
      <w:r>
        <w:t xml:space="preserve"> </w:t>
      </w:r>
      <w:r w:rsidRPr="00565702">
        <w:rPr>
          <w:b/>
        </w:rPr>
        <w:t xml:space="preserve">Book Now </w:t>
      </w:r>
      <w:r>
        <w:t>button without going to a Basket and checking out.</w:t>
      </w:r>
    </w:p>
    <w:p w14:paraId="1138BDF1" w14:textId="6EEE9B3C" w:rsidR="008D6139" w:rsidRPr="008D6139" w:rsidRDefault="002763DD" w:rsidP="00565702">
      <w:pPr>
        <w:pStyle w:val="Heading2"/>
      </w:pPr>
      <w:r>
        <w:t>Payments</w:t>
      </w:r>
    </w:p>
    <w:p w14:paraId="42958B4D" w14:textId="2CFA51DA" w:rsidR="009F14F2" w:rsidRDefault="008D6139" w:rsidP="00512AA7">
      <w:pPr>
        <w:pStyle w:val="ListParagraph"/>
        <w:numPr>
          <w:ilvl w:val="0"/>
          <w:numId w:val="4"/>
        </w:numPr>
        <w:spacing w:line="276" w:lineRule="auto"/>
      </w:pPr>
      <w:r>
        <w:t xml:space="preserve">One or more </w:t>
      </w:r>
      <w:r w:rsidR="002763DD">
        <w:t xml:space="preserve">chargeable </w:t>
      </w:r>
      <w:r>
        <w:t>events will be added to the user’s basket and when payment is made, the total amount due will be taken in one transaction.</w:t>
      </w:r>
    </w:p>
    <w:p w14:paraId="0E1CECBC" w14:textId="444FF8B0" w:rsidR="002763DD" w:rsidRPr="008D6139" w:rsidRDefault="002763DD" w:rsidP="00512AA7">
      <w:pPr>
        <w:pStyle w:val="ListParagraph"/>
        <w:numPr>
          <w:ilvl w:val="0"/>
          <w:numId w:val="4"/>
        </w:numPr>
        <w:spacing w:line="276" w:lineRule="auto"/>
      </w:pPr>
      <w:r>
        <w:t xml:space="preserve">A successful transaction will be returned with a unique ID and </w:t>
      </w:r>
      <w:proofErr w:type="spellStart"/>
      <w:r>
        <w:t>SagePay</w:t>
      </w:r>
      <w:proofErr w:type="spellEnd"/>
      <w:r>
        <w:t xml:space="preserve">, our current payment gateway, refers to this as the </w:t>
      </w:r>
      <w:proofErr w:type="spellStart"/>
      <w:r w:rsidRPr="00866206">
        <w:rPr>
          <w:rFonts w:ascii="Consolas" w:hAnsi="Consolas" w:cs="Consolas"/>
          <w:b/>
          <w:color w:val="FF0000"/>
          <w:sz w:val="20"/>
          <w:szCs w:val="20"/>
        </w:rPr>
        <w:t>VPSTxID</w:t>
      </w:r>
      <w:proofErr w:type="spellEnd"/>
      <w:r>
        <w:rPr>
          <w:b/>
        </w:rPr>
        <w:t>.</w:t>
      </w:r>
      <w:r w:rsidR="00866206">
        <w:rPr>
          <w:b/>
        </w:rPr>
        <w:t xml:space="preserve"> </w:t>
      </w:r>
      <w:r w:rsidR="00866206" w:rsidRPr="00866206">
        <w:t>This Unique</w:t>
      </w:r>
      <w:r w:rsidR="00866206">
        <w:t xml:space="preserve"> </w:t>
      </w:r>
      <w:r w:rsidR="00866206" w:rsidRPr="00866206">
        <w:t>ID is referenced going forward in this document.</w:t>
      </w:r>
    </w:p>
    <w:p w14:paraId="0213F95F" w14:textId="50A300A6" w:rsidR="002763DD" w:rsidRDefault="002763DD" w:rsidP="00512AA7">
      <w:pPr>
        <w:pStyle w:val="ListParagraph"/>
        <w:numPr>
          <w:ilvl w:val="0"/>
          <w:numId w:val="4"/>
        </w:numPr>
        <w:spacing w:line="276" w:lineRule="auto"/>
      </w:pPr>
      <w:r>
        <w:t xml:space="preserve">The gateway will offer a great number of other details aside when a payment is </w:t>
      </w:r>
      <w:r w:rsidR="00767D58">
        <w:t>successful,</w:t>
      </w:r>
      <w:r>
        <w:t xml:space="preserve"> and these should all be stored in a Transaction table (the diagram above does not include them all).</w:t>
      </w:r>
    </w:p>
    <w:p w14:paraId="0F9F0A8E" w14:textId="371A21B7" w:rsidR="002763DD" w:rsidRDefault="002763DD" w:rsidP="00512AA7">
      <w:pPr>
        <w:pStyle w:val="ListParagraph"/>
        <w:numPr>
          <w:ilvl w:val="0"/>
          <w:numId w:val="4"/>
        </w:numPr>
        <w:spacing w:line="276" w:lineRule="auto"/>
      </w:pPr>
      <w:r>
        <w:t xml:space="preserve">This includes the </w:t>
      </w:r>
      <w:proofErr w:type="spellStart"/>
      <w:r>
        <w:t>VPSTxID</w:t>
      </w:r>
      <w:proofErr w:type="spellEnd"/>
      <w:r>
        <w:t xml:space="preserve"> and the system should retro-fit that into the Bookings table, so each event that was paid for in this transaction can be referenced to the payment.</w:t>
      </w:r>
    </w:p>
    <w:p w14:paraId="4A550CC2" w14:textId="2B72ED50" w:rsidR="002763DD" w:rsidRDefault="002763DD" w:rsidP="00512AA7">
      <w:pPr>
        <w:pStyle w:val="ListParagraph"/>
        <w:numPr>
          <w:ilvl w:val="0"/>
          <w:numId w:val="4"/>
        </w:numPr>
        <w:spacing w:line="276" w:lineRule="auto"/>
      </w:pPr>
      <w:r>
        <w:t xml:space="preserve">If payment fails, the gateway will return a failed transaction record, that should also be stored in the Transaction table. It will not include a </w:t>
      </w:r>
      <w:proofErr w:type="spellStart"/>
      <w:r>
        <w:t>VPSTxID</w:t>
      </w:r>
      <w:proofErr w:type="spellEnd"/>
      <w:r>
        <w:t xml:space="preserve"> as this is seen as evidence of a successful transaction only.</w:t>
      </w:r>
    </w:p>
    <w:p w14:paraId="0C0E1367" w14:textId="008C4AF7" w:rsidR="002763DD" w:rsidRDefault="002763DD" w:rsidP="00512AA7">
      <w:pPr>
        <w:pStyle w:val="ListParagraph"/>
        <w:numPr>
          <w:ilvl w:val="0"/>
          <w:numId w:val="4"/>
        </w:numPr>
        <w:spacing w:line="276" w:lineRule="auto"/>
      </w:pPr>
      <w:r>
        <w:t>You will therefore have a record of all successful and unsuccessful transactions.</w:t>
      </w:r>
    </w:p>
    <w:p w14:paraId="35E91EFC" w14:textId="77777777" w:rsidR="006A037A" w:rsidRDefault="006A037A">
      <w:pPr>
        <w:rPr>
          <w:rFonts w:asciiTheme="majorHAnsi" w:eastAsiaTheme="majorEastAsia" w:hAnsiTheme="majorHAnsi" w:cstheme="majorBidi"/>
          <w:color w:val="2F5496" w:themeColor="accent1" w:themeShade="BF"/>
          <w:sz w:val="26"/>
          <w:szCs w:val="26"/>
        </w:rPr>
      </w:pPr>
      <w:r>
        <w:br w:type="page"/>
      </w:r>
    </w:p>
    <w:p w14:paraId="75F22563" w14:textId="17C393DC" w:rsidR="009F14F2" w:rsidRDefault="009F14F2" w:rsidP="002763DD">
      <w:pPr>
        <w:pStyle w:val="Heading2"/>
      </w:pPr>
      <w:r>
        <w:lastRenderedPageBreak/>
        <w:t>The Payment Transaction Journey</w:t>
      </w:r>
      <w:r w:rsidR="00BB2B86">
        <w:t xml:space="preserve"> (Server Integration)</w:t>
      </w:r>
    </w:p>
    <w:p w14:paraId="7039DAEF" w14:textId="5F417449" w:rsidR="00BB2B86" w:rsidRDefault="00BB2B86" w:rsidP="009F14F2">
      <w:r w:rsidRPr="00BB2B86">
        <w:rPr>
          <w:b/>
        </w:rPr>
        <w:t>Server Integration</w:t>
      </w:r>
      <w:r>
        <w:t xml:space="preserve"> is currently used. There are other methods of integrating with a Payment Gateway.</w:t>
      </w:r>
    </w:p>
    <w:p w14:paraId="663B92DD" w14:textId="0C2F4E78" w:rsidR="00BB2B86" w:rsidRDefault="00BB2B86" w:rsidP="009F14F2">
      <w:r>
        <w:t xml:space="preserve">Using Server Integration means the user is sent to a Payment Gateway URL to key in card details (although </w:t>
      </w:r>
      <w:r w:rsidR="00123244">
        <w:t xml:space="preserve">using their </w:t>
      </w:r>
      <w:proofErr w:type="spellStart"/>
      <w:r w:rsidR="00123244">
        <w:t>InLine</w:t>
      </w:r>
      <w:proofErr w:type="spellEnd"/>
      <w:r w:rsidR="00123244">
        <w:t xml:space="preserve"> option, </w:t>
      </w:r>
      <w:r>
        <w:t xml:space="preserve">the user is not really that aware of this as you can embed it in your site). </w:t>
      </w:r>
    </w:p>
    <w:p w14:paraId="4384C352" w14:textId="634B990E" w:rsidR="00BB2B86" w:rsidRDefault="00BB2B86" w:rsidP="009F14F2">
      <w:r>
        <w:t xml:space="preserve">The benefit of this is that no card details are either saved or transmitted from your system to the Payment Gateway. Nor are they retained. </w:t>
      </w:r>
    </w:p>
    <w:p w14:paraId="1186F358" w14:textId="4B15BB50" w:rsidR="009F14F2" w:rsidRDefault="00BB2B86" w:rsidP="009F14F2">
      <w:r>
        <w:t xml:space="preserve">This removes the risk of </w:t>
      </w:r>
      <w:r w:rsidR="002E275E">
        <w:t xml:space="preserve">data being intercepted / </w:t>
      </w:r>
      <w:r>
        <w:t>storing (or loosing via a data breach) confidential credit or debit card information. It does, however, require the user to re-key card details on every visit.</w:t>
      </w:r>
      <w:r w:rsidR="00123244">
        <w:t>*</w:t>
      </w:r>
    </w:p>
    <w:p w14:paraId="1BBFC082" w14:textId="56D041E4" w:rsidR="00123244" w:rsidRPr="00123244" w:rsidRDefault="00123244" w:rsidP="009F14F2">
      <w:pPr>
        <w:rPr>
          <w:i/>
        </w:rPr>
      </w:pPr>
      <w:r w:rsidRPr="00123244">
        <w:rPr>
          <w:i/>
        </w:rPr>
        <w:t>*</w:t>
      </w:r>
      <w:proofErr w:type="spellStart"/>
      <w:r w:rsidRPr="00123244">
        <w:rPr>
          <w:i/>
        </w:rPr>
        <w:t>SagePay</w:t>
      </w:r>
      <w:proofErr w:type="spellEnd"/>
      <w:r w:rsidRPr="00123244">
        <w:rPr>
          <w:i/>
        </w:rPr>
        <w:t xml:space="preserve"> have introduced a second level of token identity. A user can create a card alias at checkout and that alias is saved on your system with a </w:t>
      </w:r>
      <w:proofErr w:type="spellStart"/>
      <w:r w:rsidRPr="00123244">
        <w:rPr>
          <w:i/>
        </w:rPr>
        <w:t>TokenID</w:t>
      </w:r>
      <w:proofErr w:type="spellEnd"/>
      <w:r w:rsidRPr="00123244">
        <w:rPr>
          <w:i/>
        </w:rPr>
        <w:t xml:space="preserve">. The </w:t>
      </w:r>
      <w:proofErr w:type="spellStart"/>
      <w:r w:rsidRPr="00123244">
        <w:rPr>
          <w:i/>
        </w:rPr>
        <w:t>TokenID</w:t>
      </w:r>
      <w:proofErr w:type="spellEnd"/>
      <w:r w:rsidRPr="00123244">
        <w:rPr>
          <w:i/>
        </w:rPr>
        <w:t xml:space="preserve"> is saved at the Payment Gateway with the card details. It is therefore possible to check out using the alias, thus removing </w:t>
      </w:r>
      <w:r>
        <w:rPr>
          <w:i/>
        </w:rPr>
        <w:t>the need to re-key card details.</w:t>
      </w:r>
      <w:r w:rsidRPr="00123244">
        <w:rPr>
          <w:i/>
        </w:rPr>
        <w:t xml:space="preserve"> We have not implemented this but see it as a good suggestion going forward.</w:t>
      </w:r>
    </w:p>
    <w:p w14:paraId="750AA1FF" w14:textId="6EF3CC1F" w:rsidR="009F14F2" w:rsidRDefault="009F14F2" w:rsidP="006B0670">
      <w:pPr>
        <w:jc w:val="center"/>
      </w:pPr>
      <w:r w:rsidRPr="009F14F2">
        <w:rPr>
          <w:noProof/>
          <w:lang w:eastAsia="en-GB"/>
        </w:rPr>
        <w:drawing>
          <wp:inline distT="0" distB="0" distL="0" distR="0" wp14:anchorId="19EAAF2F" wp14:editId="2CF2C1D6">
            <wp:extent cx="4928010" cy="3249038"/>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1014" cy="3264205"/>
                    </a:xfrm>
                    <a:prstGeom prst="rect">
                      <a:avLst/>
                    </a:prstGeom>
                  </pic:spPr>
                </pic:pic>
              </a:graphicData>
            </a:graphic>
          </wp:inline>
        </w:drawing>
      </w:r>
    </w:p>
    <w:p w14:paraId="72BC3F8A" w14:textId="32445A5C" w:rsidR="009F14F2" w:rsidRDefault="009F14F2" w:rsidP="00BB2B86">
      <w:pPr>
        <w:pStyle w:val="ListParagraph"/>
        <w:numPr>
          <w:ilvl w:val="0"/>
          <w:numId w:val="10"/>
        </w:numPr>
        <w:spacing w:line="276" w:lineRule="auto"/>
      </w:pPr>
      <w:r>
        <w:t>User has events in basket and clicks on the Checkout button</w:t>
      </w:r>
    </w:p>
    <w:p w14:paraId="18ACACE0" w14:textId="66365985" w:rsidR="009F14F2" w:rsidRDefault="009F14F2" w:rsidP="00BB2B86">
      <w:pPr>
        <w:pStyle w:val="ListParagraph"/>
        <w:numPr>
          <w:ilvl w:val="0"/>
          <w:numId w:val="10"/>
        </w:numPr>
        <w:spacing w:line="276" w:lineRule="auto"/>
      </w:pPr>
      <w:r>
        <w:t xml:space="preserve">System contacts Payment Gateway with </w:t>
      </w:r>
      <w:proofErr w:type="spellStart"/>
      <w:r>
        <w:t>CreateToken</w:t>
      </w:r>
      <w:proofErr w:type="spellEnd"/>
      <w:r>
        <w:t xml:space="preserve">=1 within its call.  </w:t>
      </w:r>
      <w:r w:rsidR="006B0670">
        <w:t xml:space="preserve">Gateway sends </w:t>
      </w:r>
      <w:r w:rsidR="00BB2B86">
        <w:t xml:space="preserve">a </w:t>
      </w:r>
      <w:r w:rsidR="006B0670">
        <w:t>URL back to system containing unique token ID embedded to be used in this transaction</w:t>
      </w:r>
      <w:r w:rsidR="00BB2B86">
        <w:t>.</w:t>
      </w:r>
    </w:p>
    <w:p w14:paraId="7B9D496F" w14:textId="43601656" w:rsidR="009F14F2" w:rsidRDefault="006B0670" w:rsidP="00BB2B86">
      <w:pPr>
        <w:pStyle w:val="ListParagraph"/>
        <w:numPr>
          <w:ilvl w:val="0"/>
          <w:numId w:val="10"/>
        </w:numPr>
        <w:spacing w:line="276" w:lineRule="auto"/>
      </w:pPr>
      <w:r>
        <w:t xml:space="preserve">System directs user to </w:t>
      </w:r>
      <w:r w:rsidR="00BB2B86">
        <w:t xml:space="preserve">this </w:t>
      </w:r>
      <w:r>
        <w:t xml:space="preserve">URL (payment page) and user keys in details. </w:t>
      </w:r>
      <w:r w:rsidRPr="006B0670">
        <w:rPr>
          <w:b/>
        </w:rPr>
        <w:t>Note</w:t>
      </w:r>
      <w:r>
        <w:t xml:space="preserve"> this payment page may look to the user </w:t>
      </w:r>
      <w:r w:rsidR="00BB2B86">
        <w:t>like</w:t>
      </w:r>
      <w:r>
        <w:t xml:space="preserve"> a system page but is in fact </w:t>
      </w:r>
      <w:r w:rsidR="00123244">
        <w:t>an embedded Payment Gateway URL.</w:t>
      </w:r>
    </w:p>
    <w:p w14:paraId="07099025" w14:textId="24099ADB" w:rsidR="009F14F2" w:rsidRDefault="006B0670" w:rsidP="00BB2B86">
      <w:pPr>
        <w:pStyle w:val="ListParagraph"/>
        <w:numPr>
          <w:ilvl w:val="0"/>
          <w:numId w:val="10"/>
        </w:numPr>
        <w:spacing w:line="276" w:lineRule="auto"/>
      </w:pPr>
      <w:r>
        <w:t>Payment Gateway contacts the bank for authorisation. Reply will be Success of Fail</w:t>
      </w:r>
    </w:p>
    <w:p w14:paraId="46FD43B1" w14:textId="4A8EB36A" w:rsidR="009F14F2" w:rsidRDefault="006B0670" w:rsidP="00BB2B86">
      <w:pPr>
        <w:pStyle w:val="ListParagraph"/>
        <w:numPr>
          <w:ilvl w:val="0"/>
          <w:numId w:val="10"/>
        </w:numPr>
        <w:spacing w:line="276" w:lineRule="auto"/>
      </w:pPr>
      <w:r>
        <w:t>Payment Gateway sends system Success or Fail record for Transaction Log. If fail, will reset token ID for second attempt</w:t>
      </w:r>
    </w:p>
    <w:p w14:paraId="47B2E096" w14:textId="0E245A5B" w:rsidR="009F14F2" w:rsidRPr="009F14F2" w:rsidRDefault="006B0670" w:rsidP="00BB2B86">
      <w:pPr>
        <w:pStyle w:val="ListParagraph"/>
        <w:numPr>
          <w:ilvl w:val="0"/>
          <w:numId w:val="10"/>
        </w:numPr>
        <w:spacing w:line="276" w:lineRule="auto"/>
      </w:pPr>
      <w:r>
        <w:t>Payment Gateway shows the user a Success of Fail message</w:t>
      </w:r>
    </w:p>
    <w:p w14:paraId="3106372C" w14:textId="77777777" w:rsidR="00BB2B86" w:rsidRDefault="00BB2B86">
      <w:pPr>
        <w:rPr>
          <w:rFonts w:asciiTheme="majorHAnsi" w:eastAsiaTheme="majorEastAsia" w:hAnsiTheme="majorHAnsi" w:cstheme="majorBidi"/>
          <w:color w:val="2F5496" w:themeColor="accent1" w:themeShade="BF"/>
          <w:sz w:val="26"/>
          <w:szCs w:val="26"/>
        </w:rPr>
      </w:pPr>
      <w:r>
        <w:br w:type="page"/>
      </w:r>
    </w:p>
    <w:p w14:paraId="48E2931D" w14:textId="5745EF9D" w:rsidR="002763DD" w:rsidRDefault="002763DD" w:rsidP="002763DD">
      <w:pPr>
        <w:pStyle w:val="Heading2"/>
      </w:pPr>
      <w:r>
        <w:lastRenderedPageBreak/>
        <w:t>Refunds</w:t>
      </w:r>
    </w:p>
    <w:p w14:paraId="62E95F87" w14:textId="77777777" w:rsidR="00767D58" w:rsidRDefault="00E46C4B" w:rsidP="002763DD">
      <w:r>
        <w:t xml:space="preserve">Your payment gateway allows for refunds to be actioned by the user if you wish to enable it and it is suggested </w:t>
      </w:r>
      <w:r w:rsidR="00F13F0F">
        <w:t>you implement this, on an event by event basis to the user</w:t>
      </w:r>
      <w:r w:rsidR="00767D58">
        <w:t xml:space="preserve"> via some Order History page</w:t>
      </w:r>
      <w:r>
        <w:t xml:space="preserve">. </w:t>
      </w:r>
    </w:p>
    <w:p w14:paraId="261136A0" w14:textId="6CF81B1C" w:rsidR="00E46C4B" w:rsidRDefault="00E46C4B" w:rsidP="002763DD">
      <w:r>
        <w:t xml:space="preserve">Business rules will </w:t>
      </w:r>
      <w:r w:rsidR="00767D58">
        <w:t>apply,</w:t>
      </w:r>
      <w:r>
        <w:t xml:space="preserve"> and these can be identified by the Product Owner but ignoring that </w:t>
      </w:r>
      <w:r w:rsidR="00767D58">
        <w:t>now</w:t>
      </w:r>
      <w:r>
        <w:t>, the process works as follows:</w:t>
      </w:r>
    </w:p>
    <w:p w14:paraId="0717B383" w14:textId="4E764FB3" w:rsidR="00B605A8" w:rsidRDefault="00F13F0F" w:rsidP="00512AA7">
      <w:pPr>
        <w:pStyle w:val="ListParagraph"/>
        <w:numPr>
          <w:ilvl w:val="0"/>
          <w:numId w:val="5"/>
        </w:numPr>
        <w:spacing w:line="276" w:lineRule="auto"/>
      </w:pPr>
      <w:r>
        <w:t>The system first needs to identify how much should be refunded for this event. This will be the amount charged for the event in question and can be derived from the Bookings table</w:t>
      </w:r>
    </w:p>
    <w:p w14:paraId="3F106743" w14:textId="1FF17E64" w:rsidR="00F13F0F" w:rsidRDefault="00F13F0F" w:rsidP="00512AA7">
      <w:pPr>
        <w:pStyle w:val="ListParagraph"/>
        <w:numPr>
          <w:ilvl w:val="0"/>
          <w:numId w:val="5"/>
        </w:numPr>
        <w:spacing w:line="276" w:lineRule="auto"/>
      </w:pPr>
      <w:r>
        <w:t xml:space="preserve">Your payment gateway will be fed the amount </w:t>
      </w:r>
      <w:r w:rsidR="00767D58">
        <w:t>derived</w:t>
      </w:r>
      <w:r>
        <w:t xml:space="preserve"> and will also require not only the associated </w:t>
      </w:r>
      <w:proofErr w:type="spellStart"/>
      <w:r>
        <w:t>VPSTxID</w:t>
      </w:r>
      <w:proofErr w:type="spellEnd"/>
      <w:r>
        <w:t xml:space="preserve"> but also the </w:t>
      </w:r>
      <w:proofErr w:type="spellStart"/>
      <w:r w:rsidRPr="00F13F0F">
        <w:rPr>
          <w:b/>
        </w:rPr>
        <w:t>SecurityKey</w:t>
      </w:r>
      <w:proofErr w:type="spellEnd"/>
      <w:r>
        <w:t xml:space="preserve"> stored against the initial transaction</w:t>
      </w:r>
    </w:p>
    <w:p w14:paraId="2B532901" w14:textId="7CE8F5ED" w:rsidR="00F13F0F" w:rsidRDefault="00F13F0F" w:rsidP="00512AA7">
      <w:pPr>
        <w:pStyle w:val="ListParagraph"/>
        <w:numPr>
          <w:ilvl w:val="0"/>
          <w:numId w:val="5"/>
        </w:numPr>
        <w:spacing w:line="276" w:lineRule="auto"/>
      </w:pPr>
      <w:r>
        <w:t xml:space="preserve">A successful refund can only be given to the same debit or credit card first used to pay for the event. </w:t>
      </w:r>
    </w:p>
    <w:p w14:paraId="102F781E" w14:textId="2DAC53F8" w:rsidR="00F13F0F" w:rsidRDefault="00F13F0F" w:rsidP="00512AA7">
      <w:pPr>
        <w:pStyle w:val="ListParagraph"/>
        <w:numPr>
          <w:ilvl w:val="0"/>
          <w:numId w:val="5"/>
        </w:numPr>
        <w:spacing w:line="276" w:lineRule="auto"/>
      </w:pPr>
      <w:r>
        <w:t xml:space="preserve">If the refund is </w:t>
      </w:r>
      <w:r w:rsidR="00767D58">
        <w:t>successful, you will receive a S</w:t>
      </w:r>
      <w:r>
        <w:t>uccess</w:t>
      </w:r>
      <w:r w:rsidR="00767D58">
        <w:t>ful R</w:t>
      </w:r>
      <w:r>
        <w:t xml:space="preserve">efund </w:t>
      </w:r>
      <w:r w:rsidR="00767D58">
        <w:t>Record,</w:t>
      </w:r>
      <w:r>
        <w:t xml:space="preserve"> and this should be stored in a Refund Log. It will include a new Refund </w:t>
      </w:r>
      <w:proofErr w:type="spellStart"/>
      <w:r>
        <w:t>VPSTxID</w:t>
      </w:r>
      <w:proofErr w:type="spellEnd"/>
      <w:r>
        <w:t xml:space="preserve"> different to the Transaction </w:t>
      </w:r>
      <w:proofErr w:type="spellStart"/>
      <w:r>
        <w:t>VPSTxID</w:t>
      </w:r>
      <w:proofErr w:type="spellEnd"/>
      <w:r>
        <w:t xml:space="preserve"> but both should be stored in the record created in the Refund Log.</w:t>
      </w:r>
    </w:p>
    <w:p w14:paraId="6B0F92AD" w14:textId="1445F86C" w:rsidR="00F13F0F" w:rsidRDefault="00F13F0F" w:rsidP="00512AA7">
      <w:pPr>
        <w:pStyle w:val="ListParagraph"/>
        <w:numPr>
          <w:ilvl w:val="0"/>
          <w:numId w:val="5"/>
        </w:numPr>
        <w:spacing w:line="276" w:lineRule="auto"/>
      </w:pPr>
      <w:r>
        <w:t>This allows you to reconcile refunds against initial payments.</w:t>
      </w:r>
    </w:p>
    <w:p w14:paraId="05B2161A" w14:textId="58349379" w:rsidR="009B3945" w:rsidRPr="009F14F2" w:rsidRDefault="00767D58" w:rsidP="00512AA7">
      <w:pPr>
        <w:pStyle w:val="ListParagraph"/>
        <w:numPr>
          <w:ilvl w:val="0"/>
          <w:numId w:val="5"/>
        </w:numPr>
        <w:spacing w:line="276" w:lineRule="auto"/>
        <w:rPr>
          <w:rStyle w:val="TitleChar"/>
          <w:rFonts w:asciiTheme="minorHAnsi" w:eastAsiaTheme="minorHAnsi" w:hAnsiTheme="minorHAnsi" w:cstheme="minorBidi"/>
          <w:spacing w:val="0"/>
          <w:kern w:val="0"/>
          <w:sz w:val="22"/>
          <w:szCs w:val="22"/>
        </w:rPr>
      </w:pPr>
      <w:r>
        <w:t>If the refund fails (usually due to banking rules) you will receive a Failed Refund Record with reasons and this too should be stored in the Refund Log.</w:t>
      </w:r>
    </w:p>
    <w:p w14:paraId="5EE4EAD4" w14:textId="77777777" w:rsidR="009B3945" w:rsidRDefault="009B3945">
      <w:pPr>
        <w:rPr>
          <w:rStyle w:val="TitleChar"/>
          <w:sz w:val="48"/>
          <w:szCs w:val="48"/>
        </w:rPr>
      </w:pPr>
      <w:r>
        <w:rPr>
          <w:rStyle w:val="TitleChar"/>
          <w:sz w:val="48"/>
          <w:szCs w:val="48"/>
        </w:rPr>
        <w:br w:type="page"/>
      </w:r>
    </w:p>
    <w:p w14:paraId="4BD1FF6B" w14:textId="208C17D3" w:rsidR="009B3945" w:rsidRPr="000C532F" w:rsidRDefault="009B3945" w:rsidP="000C532F">
      <w:pPr>
        <w:pStyle w:val="ListParagraph"/>
        <w:numPr>
          <w:ilvl w:val="0"/>
          <w:numId w:val="9"/>
        </w:numPr>
        <w:rPr>
          <w:rStyle w:val="TitleChar"/>
          <w:sz w:val="48"/>
          <w:szCs w:val="48"/>
        </w:rPr>
      </w:pPr>
      <w:r w:rsidRPr="000C532F">
        <w:rPr>
          <w:rStyle w:val="TitleChar"/>
          <w:sz w:val="48"/>
          <w:szCs w:val="48"/>
        </w:rPr>
        <w:lastRenderedPageBreak/>
        <w:t>Reporting Payments and Refunds</w:t>
      </w:r>
    </w:p>
    <w:p w14:paraId="1707A6FA" w14:textId="1C71D1E0" w:rsidR="00E00F19" w:rsidRDefault="00E00F19" w:rsidP="00E00F19">
      <w:r>
        <w:t>Your daily take must be reported to the NES Finance System. This historically has happened in the small hours of the following morning, reporting all activity between Midnight and Midnight for the “day before”.</w:t>
      </w:r>
    </w:p>
    <w:p w14:paraId="44845D50" w14:textId="601C7EFC" w:rsidR="005B6B3F" w:rsidRDefault="005B6B3F" w:rsidP="005B6B3F">
      <w:r>
        <w:t>In broad terms, the Finance system (CEDAR) needs a detailed list of Payments and Refunds for the day in question with the following totals:</w:t>
      </w:r>
    </w:p>
    <w:p w14:paraId="40408661" w14:textId="4392698F" w:rsidR="005B6B3F" w:rsidRDefault="005B6B3F" w:rsidP="005B6B3F">
      <w:pPr>
        <w:pStyle w:val="ListParagraph"/>
        <w:numPr>
          <w:ilvl w:val="0"/>
          <w:numId w:val="7"/>
        </w:numPr>
      </w:pPr>
      <w:r>
        <w:t>The income total</w:t>
      </w:r>
      <w:r w:rsidR="00660358">
        <w:t xml:space="preserve"> (excluding any refunds)</w:t>
      </w:r>
    </w:p>
    <w:p w14:paraId="51DB7A5E" w14:textId="04ABAFA1" w:rsidR="005B6B3F" w:rsidRDefault="005B6B3F" w:rsidP="005B6B3F">
      <w:pPr>
        <w:pStyle w:val="ListParagraph"/>
        <w:numPr>
          <w:ilvl w:val="0"/>
          <w:numId w:val="7"/>
        </w:numPr>
      </w:pPr>
      <w:r>
        <w:t xml:space="preserve">The </w:t>
      </w:r>
      <w:r w:rsidR="00660358">
        <w:t>financial movement total (including any refunds)</w:t>
      </w:r>
    </w:p>
    <w:p w14:paraId="497D6025" w14:textId="4B667582" w:rsidR="00660358" w:rsidRPr="007969D0" w:rsidRDefault="00660358" w:rsidP="00660358">
      <w:pPr>
        <w:rPr>
          <w:b/>
        </w:rPr>
      </w:pPr>
      <w:proofErr w:type="spellStart"/>
      <w:r w:rsidRPr="007969D0">
        <w:rPr>
          <w:b/>
        </w:rPr>
        <w:t>eg</w:t>
      </w:r>
      <w:proofErr w:type="spellEnd"/>
    </w:p>
    <w:tbl>
      <w:tblPr>
        <w:tblStyle w:val="TableGrid"/>
        <w:tblW w:w="0" w:type="auto"/>
        <w:tblLook w:val="04A0" w:firstRow="1" w:lastRow="0" w:firstColumn="1" w:lastColumn="0" w:noHBand="0" w:noVBand="1"/>
      </w:tblPr>
      <w:tblGrid>
        <w:gridCol w:w="1288"/>
        <w:gridCol w:w="5511"/>
        <w:gridCol w:w="993"/>
        <w:gridCol w:w="1134"/>
      </w:tblGrid>
      <w:tr w:rsidR="00660358" w:rsidRPr="000C6255" w14:paraId="369108EA" w14:textId="77777777" w:rsidTr="00660358">
        <w:tc>
          <w:tcPr>
            <w:tcW w:w="1288" w:type="dxa"/>
          </w:tcPr>
          <w:p w14:paraId="0FBFE802" w14:textId="3CF39458"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Ref</w:t>
            </w:r>
          </w:p>
        </w:tc>
        <w:tc>
          <w:tcPr>
            <w:tcW w:w="5511" w:type="dxa"/>
          </w:tcPr>
          <w:p w14:paraId="50343D30" w14:textId="03D0CBA8"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Description</w:t>
            </w:r>
          </w:p>
        </w:tc>
        <w:tc>
          <w:tcPr>
            <w:tcW w:w="993" w:type="dxa"/>
          </w:tcPr>
          <w:p w14:paraId="563A41B9" w14:textId="79496824"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Type</w:t>
            </w:r>
          </w:p>
        </w:tc>
        <w:tc>
          <w:tcPr>
            <w:tcW w:w="1134" w:type="dxa"/>
          </w:tcPr>
          <w:p w14:paraId="13F8458E" w14:textId="7FDB145D"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Total</w:t>
            </w:r>
          </w:p>
        </w:tc>
      </w:tr>
      <w:tr w:rsidR="00660358" w:rsidRPr="000C6255" w14:paraId="6F571508" w14:textId="77777777" w:rsidTr="00660358">
        <w:tc>
          <w:tcPr>
            <w:tcW w:w="1288" w:type="dxa"/>
          </w:tcPr>
          <w:p w14:paraId="750FD8EA" w14:textId="678EBE72"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1</w:t>
            </w:r>
          </w:p>
        </w:tc>
        <w:tc>
          <w:tcPr>
            <w:tcW w:w="5511" w:type="dxa"/>
          </w:tcPr>
          <w:p w14:paraId="7C017606" w14:textId="2F025C68" w:rsidR="00660358" w:rsidRPr="000C6255" w:rsidRDefault="000C6255" w:rsidP="000C6255">
            <w:pPr>
              <w:spacing w:before="120" w:after="120"/>
              <w:rPr>
                <w:rFonts w:ascii="Consolas" w:hAnsi="Consolas" w:cs="Consolas"/>
                <w:sz w:val="18"/>
                <w:szCs w:val="18"/>
              </w:rPr>
            </w:pPr>
            <w:r>
              <w:rPr>
                <w:rFonts w:ascii="Consolas" w:hAnsi="Consolas" w:cs="Consolas"/>
                <w:sz w:val="18"/>
                <w:szCs w:val="18"/>
              </w:rPr>
              <w:t>Booking</w:t>
            </w:r>
            <w:r w:rsidR="00660358" w:rsidRPr="000C6255">
              <w:rPr>
                <w:rFonts w:ascii="Consolas" w:hAnsi="Consolas" w:cs="Consolas"/>
                <w:sz w:val="18"/>
                <w:szCs w:val="18"/>
              </w:rPr>
              <w:t xml:space="preserve"> - Mr Smith – Course 000100</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001</w:t>
            </w:r>
          </w:p>
        </w:tc>
        <w:tc>
          <w:tcPr>
            <w:tcW w:w="993" w:type="dxa"/>
          </w:tcPr>
          <w:p w14:paraId="1E456991" w14:textId="5D443AF3"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credit</w:t>
            </w:r>
          </w:p>
        </w:tc>
        <w:tc>
          <w:tcPr>
            <w:tcW w:w="1134" w:type="dxa"/>
          </w:tcPr>
          <w:p w14:paraId="67EFA342" w14:textId="641B402C"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£120.00</w:t>
            </w:r>
          </w:p>
        </w:tc>
      </w:tr>
      <w:tr w:rsidR="00660358" w:rsidRPr="000C6255" w14:paraId="79052B34" w14:textId="77777777" w:rsidTr="00660358">
        <w:tc>
          <w:tcPr>
            <w:tcW w:w="1288" w:type="dxa"/>
          </w:tcPr>
          <w:p w14:paraId="7ACECFFC" w14:textId="6A2D0A61"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2</w:t>
            </w:r>
          </w:p>
        </w:tc>
        <w:tc>
          <w:tcPr>
            <w:tcW w:w="5511" w:type="dxa"/>
          </w:tcPr>
          <w:p w14:paraId="6B0DEEF4" w14:textId="740D3EB8" w:rsidR="00660358" w:rsidRPr="000C6255" w:rsidRDefault="000C6255" w:rsidP="000C6255">
            <w:pPr>
              <w:spacing w:before="120" w:after="120"/>
              <w:rPr>
                <w:rFonts w:ascii="Consolas" w:hAnsi="Consolas" w:cs="Consolas"/>
                <w:sz w:val="18"/>
                <w:szCs w:val="18"/>
              </w:rPr>
            </w:pPr>
            <w:r>
              <w:rPr>
                <w:rFonts w:ascii="Consolas" w:hAnsi="Consolas" w:cs="Consolas"/>
                <w:sz w:val="18"/>
                <w:szCs w:val="18"/>
              </w:rPr>
              <w:t xml:space="preserve">Booking </w:t>
            </w:r>
            <w:r w:rsidR="00660358" w:rsidRPr="000C6255">
              <w:rPr>
                <w:rFonts w:ascii="Consolas" w:hAnsi="Consolas" w:cs="Consolas"/>
                <w:sz w:val="18"/>
                <w:szCs w:val="18"/>
              </w:rPr>
              <w:t>- Mr Smith – Course 000200</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xml:space="preserve">: </w:t>
            </w:r>
            <w:r w:rsidRPr="000C6255">
              <w:rPr>
                <w:rFonts w:ascii="Consolas" w:hAnsi="Consolas" w:cs="Consolas"/>
                <w:sz w:val="18"/>
                <w:szCs w:val="18"/>
              </w:rPr>
              <w:t>001</w:t>
            </w:r>
          </w:p>
        </w:tc>
        <w:tc>
          <w:tcPr>
            <w:tcW w:w="993" w:type="dxa"/>
          </w:tcPr>
          <w:p w14:paraId="1D3D3D2B" w14:textId="2DA0357C"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credit</w:t>
            </w:r>
          </w:p>
        </w:tc>
        <w:tc>
          <w:tcPr>
            <w:tcW w:w="1134" w:type="dxa"/>
          </w:tcPr>
          <w:p w14:paraId="51605E0E" w14:textId="2F3FA7DE"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£200.00</w:t>
            </w:r>
          </w:p>
        </w:tc>
      </w:tr>
      <w:tr w:rsidR="00660358" w:rsidRPr="000C6255" w14:paraId="62355949" w14:textId="77777777" w:rsidTr="00660358">
        <w:tc>
          <w:tcPr>
            <w:tcW w:w="1288" w:type="dxa"/>
          </w:tcPr>
          <w:p w14:paraId="56576E37" w14:textId="5CF42BD0"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3</w:t>
            </w:r>
          </w:p>
        </w:tc>
        <w:tc>
          <w:tcPr>
            <w:tcW w:w="5511" w:type="dxa"/>
          </w:tcPr>
          <w:p w14:paraId="732C056D" w14:textId="26734B8D" w:rsidR="00660358" w:rsidRPr="000C6255" w:rsidRDefault="000C6255" w:rsidP="000C6255">
            <w:pPr>
              <w:spacing w:before="120" w:after="120"/>
              <w:rPr>
                <w:rFonts w:ascii="Consolas" w:hAnsi="Consolas" w:cs="Consolas"/>
                <w:sz w:val="18"/>
                <w:szCs w:val="18"/>
              </w:rPr>
            </w:pPr>
            <w:r>
              <w:rPr>
                <w:rFonts w:ascii="Consolas" w:hAnsi="Consolas" w:cs="Consolas"/>
                <w:sz w:val="18"/>
                <w:szCs w:val="18"/>
              </w:rPr>
              <w:t>Booking</w:t>
            </w:r>
            <w:r w:rsidR="00660358" w:rsidRPr="000C6255">
              <w:rPr>
                <w:rFonts w:ascii="Consolas" w:hAnsi="Consolas" w:cs="Consolas"/>
                <w:sz w:val="18"/>
                <w:szCs w:val="18"/>
              </w:rPr>
              <w:t xml:space="preserve"> - Mr</w:t>
            </w:r>
            <w:r w:rsidR="00716D53">
              <w:rPr>
                <w:rFonts w:ascii="Consolas" w:hAnsi="Consolas" w:cs="Consolas"/>
                <w:sz w:val="18"/>
                <w:szCs w:val="18"/>
              </w:rPr>
              <w:t>s</w:t>
            </w:r>
            <w:r w:rsidR="00660358" w:rsidRPr="000C6255">
              <w:rPr>
                <w:rFonts w:ascii="Consolas" w:hAnsi="Consolas" w:cs="Consolas"/>
                <w:sz w:val="18"/>
                <w:szCs w:val="18"/>
              </w:rPr>
              <w:t xml:space="preserve"> Jones – Course 000100</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00</w:t>
            </w:r>
            <w:r w:rsidRPr="000C6255">
              <w:rPr>
                <w:rFonts w:ascii="Consolas" w:hAnsi="Consolas" w:cs="Consolas"/>
                <w:sz w:val="18"/>
                <w:szCs w:val="18"/>
              </w:rPr>
              <w:t>2</w:t>
            </w:r>
          </w:p>
        </w:tc>
        <w:tc>
          <w:tcPr>
            <w:tcW w:w="993" w:type="dxa"/>
          </w:tcPr>
          <w:p w14:paraId="2A4C8F8B" w14:textId="76308F37"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credit</w:t>
            </w:r>
          </w:p>
        </w:tc>
        <w:tc>
          <w:tcPr>
            <w:tcW w:w="1134" w:type="dxa"/>
          </w:tcPr>
          <w:p w14:paraId="562B9D10" w14:textId="11E3A224"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£120.00</w:t>
            </w:r>
          </w:p>
        </w:tc>
      </w:tr>
      <w:tr w:rsidR="00660358" w:rsidRPr="000C6255" w14:paraId="45C4F4C6" w14:textId="77777777" w:rsidTr="00660358">
        <w:tc>
          <w:tcPr>
            <w:tcW w:w="1288" w:type="dxa"/>
          </w:tcPr>
          <w:p w14:paraId="33AF23A1" w14:textId="1E41BF14"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4</w:t>
            </w:r>
          </w:p>
        </w:tc>
        <w:tc>
          <w:tcPr>
            <w:tcW w:w="5511" w:type="dxa"/>
          </w:tcPr>
          <w:p w14:paraId="60F6B6B8" w14:textId="45A26894"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Bookin</w:t>
            </w:r>
            <w:r w:rsidR="000C6255">
              <w:rPr>
                <w:rFonts w:ascii="Consolas" w:hAnsi="Consolas" w:cs="Consolas"/>
                <w:sz w:val="18"/>
                <w:szCs w:val="18"/>
              </w:rPr>
              <w:t>g</w:t>
            </w:r>
            <w:r w:rsidRPr="000C6255">
              <w:rPr>
                <w:rFonts w:ascii="Consolas" w:hAnsi="Consolas" w:cs="Consolas"/>
                <w:sz w:val="18"/>
                <w:szCs w:val="18"/>
              </w:rPr>
              <w:t xml:space="preserve"> - Mrs Brown – Course 000300</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003</w:t>
            </w:r>
          </w:p>
        </w:tc>
        <w:tc>
          <w:tcPr>
            <w:tcW w:w="993" w:type="dxa"/>
          </w:tcPr>
          <w:p w14:paraId="1CD352B7" w14:textId="3FF32186"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credit</w:t>
            </w:r>
          </w:p>
        </w:tc>
        <w:tc>
          <w:tcPr>
            <w:tcW w:w="1134" w:type="dxa"/>
          </w:tcPr>
          <w:p w14:paraId="72190AEC" w14:textId="747F4C93"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£60.00</w:t>
            </w:r>
          </w:p>
        </w:tc>
      </w:tr>
      <w:tr w:rsidR="00660358" w:rsidRPr="000C6255" w14:paraId="67A91E17" w14:textId="77777777" w:rsidTr="000E3577">
        <w:tc>
          <w:tcPr>
            <w:tcW w:w="7792" w:type="dxa"/>
            <w:gridSpan w:val="3"/>
          </w:tcPr>
          <w:p w14:paraId="316BB58F" w14:textId="69CD72F5" w:rsidR="00660358" w:rsidRPr="000C6255" w:rsidRDefault="00DA7524" w:rsidP="000C6255">
            <w:pPr>
              <w:spacing w:before="120" w:after="120"/>
              <w:rPr>
                <w:rFonts w:ascii="Consolas" w:hAnsi="Consolas" w:cs="Consolas"/>
                <w:b/>
                <w:sz w:val="18"/>
                <w:szCs w:val="18"/>
              </w:rPr>
            </w:pPr>
            <w:r>
              <w:rPr>
                <w:rFonts w:ascii="Consolas" w:hAnsi="Consolas" w:cs="Consolas"/>
                <w:b/>
                <w:sz w:val="18"/>
                <w:szCs w:val="18"/>
              </w:rPr>
              <w:t>Total Income</w:t>
            </w:r>
          </w:p>
        </w:tc>
        <w:tc>
          <w:tcPr>
            <w:tcW w:w="1134" w:type="dxa"/>
          </w:tcPr>
          <w:p w14:paraId="0C20F6CF" w14:textId="2F330812" w:rsidR="00660358" w:rsidRPr="000C6255" w:rsidRDefault="00660358" w:rsidP="000C6255">
            <w:pPr>
              <w:spacing w:before="120" w:after="120"/>
              <w:jc w:val="right"/>
              <w:rPr>
                <w:rFonts w:ascii="Consolas" w:hAnsi="Consolas" w:cs="Consolas"/>
                <w:b/>
                <w:sz w:val="18"/>
                <w:szCs w:val="18"/>
              </w:rPr>
            </w:pPr>
            <w:r w:rsidRPr="000C6255">
              <w:rPr>
                <w:rFonts w:ascii="Consolas" w:hAnsi="Consolas" w:cs="Consolas"/>
                <w:b/>
                <w:sz w:val="18"/>
                <w:szCs w:val="18"/>
              </w:rPr>
              <w:t>£500.00</w:t>
            </w:r>
          </w:p>
        </w:tc>
      </w:tr>
      <w:tr w:rsidR="00660358" w:rsidRPr="000C6255" w14:paraId="7CFB295A" w14:textId="77777777" w:rsidTr="00660358">
        <w:tc>
          <w:tcPr>
            <w:tcW w:w="1288" w:type="dxa"/>
          </w:tcPr>
          <w:p w14:paraId="5DF44FB7" w14:textId="5B4C270C"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5</w:t>
            </w:r>
          </w:p>
        </w:tc>
        <w:tc>
          <w:tcPr>
            <w:tcW w:w="5511" w:type="dxa"/>
          </w:tcPr>
          <w:p w14:paraId="00A306E3" w14:textId="568F0F55"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Refund – Mr White – Course 000100</w:t>
            </w:r>
            <w:r w:rsidR="00C72390" w:rsidRPr="000C6255">
              <w:rPr>
                <w:rFonts w:ascii="Consolas" w:hAnsi="Consolas" w:cs="Consolas"/>
                <w:sz w:val="18"/>
                <w:szCs w:val="18"/>
              </w:rPr>
              <w:t>:</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004</w:t>
            </w:r>
          </w:p>
        </w:tc>
        <w:tc>
          <w:tcPr>
            <w:tcW w:w="993" w:type="dxa"/>
          </w:tcPr>
          <w:p w14:paraId="6C635A9D" w14:textId="54E2E4BD"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debit</w:t>
            </w:r>
          </w:p>
        </w:tc>
        <w:tc>
          <w:tcPr>
            <w:tcW w:w="1134" w:type="dxa"/>
          </w:tcPr>
          <w:p w14:paraId="3A983A23" w14:textId="44A3DFEA"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-£120.00</w:t>
            </w:r>
          </w:p>
        </w:tc>
      </w:tr>
      <w:tr w:rsidR="00660358" w:rsidRPr="000C6255" w14:paraId="562D4445" w14:textId="77777777" w:rsidTr="00660358">
        <w:tc>
          <w:tcPr>
            <w:tcW w:w="1288" w:type="dxa"/>
          </w:tcPr>
          <w:p w14:paraId="1C2DFD4B" w14:textId="21A0E030"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6</w:t>
            </w:r>
          </w:p>
        </w:tc>
        <w:tc>
          <w:tcPr>
            <w:tcW w:w="5511" w:type="dxa"/>
          </w:tcPr>
          <w:p w14:paraId="2B5AEB7B" w14:textId="050F612B"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Refund – Mr</w:t>
            </w:r>
            <w:r w:rsidR="00716D53">
              <w:rPr>
                <w:rFonts w:ascii="Consolas" w:hAnsi="Consolas" w:cs="Consolas"/>
                <w:sz w:val="18"/>
                <w:szCs w:val="18"/>
              </w:rPr>
              <w:t>s</w:t>
            </w:r>
            <w:r w:rsidRPr="000C6255">
              <w:rPr>
                <w:rFonts w:ascii="Consolas" w:hAnsi="Consolas" w:cs="Consolas"/>
                <w:sz w:val="18"/>
                <w:szCs w:val="18"/>
              </w:rPr>
              <w:t xml:space="preserve"> Jones – Course 000300</w:t>
            </w:r>
            <w:r w:rsidR="00C72390" w:rsidRPr="000C6255">
              <w:rPr>
                <w:rFonts w:ascii="Consolas" w:hAnsi="Consolas" w:cs="Consolas"/>
                <w:sz w:val="18"/>
                <w:szCs w:val="18"/>
              </w:rPr>
              <w:t>:</w:t>
            </w:r>
            <w:r w:rsidR="007969D0" w:rsidRPr="000C6255">
              <w:rPr>
                <w:rFonts w:ascii="Consolas" w:hAnsi="Consolas" w:cs="Consolas"/>
                <w:sz w:val="18"/>
                <w:szCs w:val="18"/>
              </w:rPr>
              <w:t xml:space="preserve"> </w:t>
            </w:r>
            <w:proofErr w:type="spellStart"/>
            <w:r w:rsidR="007969D0" w:rsidRPr="000C6255">
              <w:rPr>
                <w:rFonts w:ascii="Consolas" w:hAnsi="Consolas" w:cs="Consolas"/>
                <w:sz w:val="18"/>
                <w:szCs w:val="18"/>
              </w:rPr>
              <w:t>VPSTxID</w:t>
            </w:r>
            <w:proofErr w:type="spellEnd"/>
            <w:r w:rsidR="007969D0" w:rsidRPr="000C6255">
              <w:rPr>
                <w:rFonts w:ascii="Consolas" w:hAnsi="Consolas" w:cs="Consolas"/>
                <w:sz w:val="18"/>
                <w:szCs w:val="18"/>
              </w:rPr>
              <w:t>: 005</w:t>
            </w:r>
          </w:p>
        </w:tc>
        <w:tc>
          <w:tcPr>
            <w:tcW w:w="993" w:type="dxa"/>
          </w:tcPr>
          <w:p w14:paraId="5A08A13A" w14:textId="3052B9CF" w:rsidR="00660358" w:rsidRPr="000C6255" w:rsidRDefault="00660358" w:rsidP="000C6255">
            <w:pPr>
              <w:spacing w:before="120" w:after="120"/>
              <w:rPr>
                <w:rFonts w:ascii="Consolas" w:hAnsi="Consolas" w:cs="Consolas"/>
                <w:sz w:val="18"/>
                <w:szCs w:val="18"/>
              </w:rPr>
            </w:pPr>
            <w:r w:rsidRPr="000C6255">
              <w:rPr>
                <w:rFonts w:ascii="Consolas" w:hAnsi="Consolas" w:cs="Consolas"/>
                <w:sz w:val="18"/>
                <w:szCs w:val="18"/>
              </w:rPr>
              <w:t>debit</w:t>
            </w:r>
          </w:p>
        </w:tc>
        <w:tc>
          <w:tcPr>
            <w:tcW w:w="1134" w:type="dxa"/>
          </w:tcPr>
          <w:p w14:paraId="181E1C38" w14:textId="4EA7318D"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sz w:val="18"/>
                <w:szCs w:val="18"/>
              </w:rPr>
              <w:t>-£60.00</w:t>
            </w:r>
          </w:p>
        </w:tc>
      </w:tr>
      <w:tr w:rsidR="00660358" w:rsidRPr="000C6255" w14:paraId="2F47F304" w14:textId="77777777" w:rsidTr="00DF33B4">
        <w:tc>
          <w:tcPr>
            <w:tcW w:w="7792" w:type="dxa"/>
            <w:gridSpan w:val="3"/>
          </w:tcPr>
          <w:p w14:paraId="65EB0CAA" w14:textId="58453095" w:rsidR="00660358" w:rsidRPr="000C6255" w:rsidRDefault="00660358" w:rsidP="000C6255">
            <w:pPr>
              <w:spacing w:before="120" w:after="120"/>
              <w:rPr>
                <w:rFonts w:ascii="Consolas" w:hAnsi="Consolas" w:cs="Consolas"/>
                <w:b/>
                <w:sz w:val="18"/>
                <w:szCs w:val="18"/>
              </w:rPr>
            </w:pPr>
            <w:r w:rsidRPr="000C6255">
              <w:rPr>
                <w:rFonts w:ascii="Consolas" w:hAnsi="Consolas" w:cs="Consolas"/>
                <w:b/>
                <w:sz w:val="18"/>
                <w:szCs w:val="18"/>
              </w:rPr>
              <w:t>Financial Movement</w:t>
            </w:r>
          </w:p>
        </w:tc>
        <w:tc>
          <w:tcPr>
            <w:tcW w:w="1134" w:type="dxa"/>
          </w:tcPr>
          <w:p w14:paraId="0551D43E" w14:textId="7ED5AEF8" w:rsidR="00660358" w:rsidRPr="000C6255" w:rsidRDefault="00660358" w:rsidP="000C6255">
            <w:pPr>
              <w:spacing w:before="120" w:after="120"/>
              <w:jc w:val="right"/>
              <w:rPr>
                <w:rFonts w:ascii="Consolas" w:hAnsi="Consolas" w:cs="Consolas"/>
                <w:sz w:val="18"/>
                <w:szCs w:val="18"/>
              </w:rPr>
            </w:pPr>
            <w:r w:rsidRPr="000C6255">
              <w:rPr>
                <w:rFonts w:ascii="Consolas" w:hAnsi="Consolas" w:cs="Consolas"/>
                <w:b/>
                <w:sz w:val="18"/>
                <w:szCs w:val="18"/>
              </w:rPr>
              <w:t>£320.00</w:t>
            </w:r>
          </w:p>
        </w:tc>
      </w:tr>
    </w:tbl>
    <w:p w14:paraId="34B6DBE9" w14:textId="77777777" w:rsidR="00660358" w:rsidRDefault="00660358" w:rsidP="00660358"/>
    <w:p w14:paraId="483B67DA" w14:textId="09D7B149" w:rsidR="00660358" w:rsidRDefault="00660358" w:rsidP="00660358">
      <w:pPr>
        <w:pStyle w:val="Heading2"/>
      </w:pPr>
      <w:r>
        <w:t>Notes</w:t>
      </w:r>
    </w:p>
    <w:p w14:paraId="7A893FEC" w14:textId="42643A5C" w:rsidR="00D000CB" w:rsidRDefault="00FA3906" w:rsidP="00512AA7">
      <w:pPr>
        <w:pStyle w:val="ListParagraph"/>
        <w:numPr>
          <w:ilvl w:val="0"/>
          <w:numId w:val="8"/>
        </w:numPr>
        <w:spacing w:line="276" w:lineRule="auto"/>
      </w:pPr>
      <w:r>
        <w:t>Even though this is a statement of Financial Transactions, records</w:t>
      </w:r>
      <w:r w:rsidR="00F06369">
        <w:t xml:space="preserve"> are listed on an event by event basis, not at a transaction level. </w:t>
      </w:r>
    </w:p>
    <w:p w14:paraId="1E62783E" w14:textId="0863DFB1" w:rsidR="004A7162" w:rsidRDefault="00F06369" w:rsidP="00512AA7">
      <w:pPr>
        <w:pStyle w:val="ListParagraph"/>
        <w:numPr>
          <w:ilvl w:val="0"/>
          <w:numId w:val="8"/>
        </w:numPr>
        <w:spacing w:line="276" w:lineRule="auto"/>
      </w:pPr>
      <w:r>
        <w:t xml:space="preserve">You will see from the example that </w:t>
      </w:r>
      <w:r w:rsidRPr="00D000CB">
        <w:rPr>
          <w:highlight w:val="yellow"/>
        </w:rPr>
        <w:t>Mr Smith bought 2 events in the same transaction</w:t>
      </w:r>
      <w:r>
        <w:t xml:space="preserve">; therefore, there are </w:t>
      </w:r>
      <w:r w:rsidR="004A7162">
        <w:t>2 records.</w:t>
      </w:r>
    </w:p>
    <w:p w14:paraId="32B8F1F8" w14:textId="125D5D37" w:rsidR="00F06369" w:rsidRDefault="00FA3906" w:rsidP="00512AA7">
      <w:pPr>
        <w:pStyle w:val="ListParagraph"/>
        <w:numPr>
          <w:ilvl w:val="0"/>
          <w:numId w:val="8"/>
        </w:numPr>
        <w:spacing w:line="276" w:lineRule="auto"/>
      </w:pPr>
      <w:r>
        <w:t>Records</w:t>
      </w:r>
      <w:r w:rsidR="00F06369">
        <w:t xml:space="preserve"> will need to be extrapolated initially from the Bookings table and not the Transaction Log table.</w:t>
      </w:r>
    </w:p>
    <w:p w14:paraId="514DC9F7" w14:textId="22BC6FBE" w:rsidR="004A7162" w:rsidRDefault="00F06369" w:rsidP="00512AA7">
      <w:pPr>
        <w:pStyle w:val="ListParagraph"/>
        <w:numPr>
          <w:ilvl w:val="0"/>
          <w:numId w:val="8"/>
        </w:numPr>
        <w:spacing w:line="276" w:lineRule="auto"/>
      </w:pPr>
      <w:r>
        <w:t xml:space="preserve">The Transaction Log table however is the single point of truth concerning actual payments taken so the </w:t>
      </w:r>
      <w:r w:rsidRPr="00F06369">
        <w:rPr>
          <w:rFonts w:ascii="Consolas" w:hAnsi="Consolas" w:cs="Consolas"/>
          <w:color w:val="4472C4" w:themeColor="accent1"/>
          <w:sz w:val="18"/>
          <w:szCs w:val="18"/>
        </w:rPr>
        <w:t>sum(</w:t>
      </w:r>
      <w:r>
        <w:rPr>
          <w:rFonts w:ascii="Consolas" w:hAnsi="Consolas" w:cs="Consolas"/>
          <w:color w:val="4472C4" w:themeColor="accent1"/>
          <w:sz w:val="18"/>
          <w:szCs w:val="18"/>
        </w:rPr>
        <w:t>amount taken</w:t>
      </w:r>
      <w:r w:rsidRPr="00F06369">
        <w:rPr>
          <w:rFonts w:ascii="Consolas" w:hAnsi="Consolas" w:cs="Consolas"/>
          <w:sz w:val="18"/>
          <w:szCs w:val="18"/>
        </w:rPr>
        <w:t>)</w:t>
      </w:r>
      <w:r>
        <w:t xml:space="preserve"> for any booking record found and listed must equal the </w:t>
      </w:r>
      <w:r w:rsidRPr="00F06369">
        <w:rPr>
          <w:rFonts w:ascii="Consolas" w:hAnsi="Consolas" w:cs="Consolas"/>
          <w:color w:val="4472C4" w:themeColor="accent1"/>
          <w:sz w:val="18"/>
          <w:szCs w:val="18"/>
        </w:rPr>
        <w:t>sum(</w:t>
      </w:r>
      <w:r>
        <w:rPr>
          <w:rFonts w:ascii="Consolas" w:hAnsi="Consolas" w:cs="Consolas"/>
          <w:color w:val="4472C4" w:themeColor="accent1"/>
          <w:sz w:val="18"/>
          <w:szCs w:val="18"/>
        </w:rPr>
        <w:t>amount taken</w:t>
      </w:r>
      <w:r w:rsidRPr="00F06369">
        <w:rPr>
          <w:rFonts w:ascii="Consolas" w:hAnsi="Consolas" w:cs="Consolas"/>
          <w:color w:val="4472C4" w:themeColor="accent1"/>
          <w:sz w:val="18"/>
          <w:szCs w:val="18"/>
        </w:rPr>
        <w:t>)</w:t>
      </w:r>
      <w:r w:rsidRPr="00F06369">
        <w:rPr>
          <w:color w:val="4472C4" w:themeColor="accent1"/>
        </w:rPr>
        <w:t xml:space="preserve"> </w:t>
      </w:r>
      <w:r w:rsidRPr="00EE0F1D">
        <w:t>for any transaction record</w:t>
      </w:r>
      <w:r w:rsidR="004A7162">
        <w:t>s</w:t>
      </w:r>
      <w:r w:rsidRPr="00EE0F1D">
        <w:t xml:space="preserve"> found</w:t>
      </w:r>
      <w:r w:rsidR="00FA3906">
        <w:t xml:space="preserve">, based on the </w:t>
      </w:r>
      <w:proofErr w:type="spellStart"/>
      <w:r w:rsidR="00FA3906">
        <w:t>VPSTxID</w:t>
      </w:r>
      <w:proofErr w:type="spellEnd"/>
      <w:r w:rsidR="00FA3906">
        <w:t xml:space="preserve"> that links the records</w:t>
      </w:r>
      <w:r w:rsidR="00EE0F1D">
        <w:t>. T</w:t>
      </w:r>
      <w:r>
        <w:t xml:space="preserve">his should be checked when compiling the export. </w:t>
      </w:r>
    </w:p>
    <w:p w14:paraId="0CB51E50" w14:textId="54F18A26" w:rsidR="00F06369" w:rsidRDefault="00F06369" w:rsidP="00512AA7">
      <w:pPr>
        <w:pStyle w:val="ListParagraph"/>
        <w:numPr>
          <w:ilvl w:val="0"/>
          <w:numId w:val="8"/>
        </w:numPr>
        <w:spacing w:line="276" w:lineRule="auto"/>
      </w:pPr>
      <w:r w:rsidRPr="004A7162">
        <w:rPr>
          <w:b/>
        </w:rPr>
        <w:t>If they do not, the export should not run</w:t>
      </w:r>
      <w:r w:rsidR="004A7162" w:rsidRPr="004A7162">
        <w:rPr>
          <w:b/>
        </w:rPr>
        <w:t>.</w:t>
      </w:r>
    </w:p>
    <w:p w14:paraId="0AAA39DA" w14:textId="26B242D6" w:rsidR="00F06369" w:rsidRDefault="00F06369" w:rsidP="00512AA7">
      <w:pPr>
        <w:pStyle w:val="ListParagraph"/>
        <w:numPr>
          <w:ilvl w:val="0"/>
          <w:numId w:val="8"/>
        </w:numPr>
        <w:spacing w:line="276" w:lineRule="auto"/>
      </w:pPr>
      <w:r>
        <w:t xml:space="preserve">Further, any records listed must be checked to have a status of </w:t>
      </w:r>
      <w:r w:rsidR="00EE0F1D">
        <w:t>“</w:t>
      </w:r>
      <w:r>
        <w:t>Booked</w:t>
      </w:r>
      <w:r w:rsidR="00EE0F1D">
        <w:t>”</w:t>
      </w:r>
      <w:r>
        <w:t xml:space="preserve"> </w:t>
      </w:r>
      <w:r w:rsidR="004A7162">
        <w:t xml:space="preserve">in the booking table </w:t>
      </w:r>
      <w:r>
        <w:t>and if any do not, they should be updated as part of the routine</w:t>
      </w:r>
      <w:r w:rsidR="004A7162">
        <w:t>.</w:t>
      </w:r>
    </w:p>
    <w:p w14:paraId="13E44034" w14:textId="0FE1E02E" w:rsidR="004A7162" w:rsidRDefault="00F06369" w:rsidP="00512AA7">
      <w:pPr>
        <w:pStyle w:val="ListParagraph"/>
        <w:numPr>
          <w:ilvl w:val="0"/>
          <w:numId w:val="8"/>
        </w:numPr>
        <w:spacing w:line="276" w:lineRule="auto"/>
      </w:pPr>
      <w:r>
        <w:t>Refunds are slightly simpler</w:t>
      </w:r>
      <w:r w:rsidR="004A7162">
        <w:t xml:space="preserve"> as events should only be cancelled / refund given on an event by event basis. There is no concept of a refund transaction having more than one event within it.</w:t>
      </w:r>
    </w:p>
    <w:p w14:paraId="5CD15FFE" w14:textId="629E2596" w:rsidR="005D0F43" w:rsidRPr="00694D6F" w:rsidRDefault="00F06369" w:rsidP="005D0F43">
      <w:pPr>
        <w:pStyle w:val="ListParagraph"/>
        <w:numPr>
          <w:ilvl w:val="0"/>
          <w:numId w:val="8"/>
        </w:numPr>
        <w:spacing w:line="276" w:lineRule="auto"/>
      </w:pPr>
      <w:r>
        <w:t xml:space="preserve">The list of successful refund records in the Refund Log are </w:t>
      </w:r>
      <w:r w:rsidR="00FB66A4">
        <w:t>easily extracted and fro</w:t>
      </w:r>
      <w:r w:rsidR="00EE0F1D">
        <w:t>m this subset of records. What should be checked is that these records exist in the booking table as “Cancelled” and if any do not, they should be updated as part of the routine</w:t>
      </w:r>
      <w:r w:rsidR="004A7162">
        <w:t>.</w:t>
      </w:r>
    </w:p>
    <w:sectPr w:rsidR="005D0F43" w:rsidRPr="00694D6F" w:rsidSect="00C65C39">
      <w:pgSz w:w="11906" w:h="16838"/>
      <w:pgMar w:top="992"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7CCE"/>
    <w:multiLevelType w:val="hybridMultilevel"/>
    <w:tmpl w:val="80C44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23606A"/>
    <w:multiLevelType w:val="hybridMultilevel"/>
    <w:tmpl w:val="3620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6F1212"/>
    <w:multiLevelType w:val="hybridMultilevel"/>
    <w:tmpl w:val="EFC4F4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4FC0C7D"/>
    <w:multiLevelType w:val="hybridMultilevel"/>
    <w:tmpl w:val="93C68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C35124"/>
    <w:multiLevelType w:val="hybridMultilevel"/>
    <w:tmpl w:val="5FB284D2"/>
    <w:lvl w:ilvl="0" w:tplc="7CF2E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3B0B7A"/>
    <w:multiLevelType w:val="hybridMultilevel"/>
    <w:tmpl w:val="F142F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0476F3D"/>
    <w:multiLevelType w:val="hybridMultilevel"/>
    <w:tmpl w:val="D166D2DE"/>
    <w:lvl w:ilvl="0" w:tplc="6052AB0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2972286"/>
    <w:multiLevelType w:val="hybridMultilevel"/>
    <w:tmpl w:val="7B7A5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23C414D"/>
    <w:multiLevelType w:val="hybridMultilevel"/>
    <w:tmpl w:val="D414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C2615CA"/>
    <w:multiLevelType w:val="hybridMultilevel"/>
    <w:tmpl w:val="223C9F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8"/>
  </w:num>
  <w:num w:numId="6">
    <w:abstractNumId w:val="3"/>
  </w:num>
  <w:num w:numId="7">
    <w:abstractNumId w:val="2"/>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FC"/>
    <w:rsid w:val="00043672"/>
    <w:rsid w:val="00070A3A"/>
    <w:rsid w:val="000C532F"/>
    <w:rsid w:val="000C6255"/>
    <w:rsid w:val="000F6DDF"/>
    <w:rsid w:val="00104E59"/>
    <w:rsid w:val="00123244"/>
    <w:rsid w:val="00150EE7"/>
    <w:rsid w:val="001A2B0F"/>
    <w:rsid w:val="0021406A"/>
    <w:rsid w:val="00250AC8"/>
    <w:rsid w:val="00252025"/>
    <w:rsid w:val="002763DD"/>
    <w:rsid w:val="002E275E"/>
    <w:rsid w:val="002E651A"/>
    <w:rsid w:val="002F3A10"/>
    <w:rsid w:val="002F6CD9"/>
    <w:rsid w:val="003043CA"/>
    <w:rsid w:val="004A7162"/>
    <w:rsid w:val="004E3A0C"/>
    <w:rsid w:val="004E6210"/>
    <w:rsid w:val="004F6FDA"/>
    <w:rsid w:val="00512AA1"/>
    <w:rsid w:val="00512AA7"/>
    <w:rsid w:val="00565702"/>
    <w:rsid w:val="005B0AE5"/>
    <w:rsid w:val="005B6B3F"/>
    <w:rsid w:val="005D0F43"/>
    <w:rsid w:val="005E0A0C"/>
    <w:rsid w:val="005F7567"/>
    <w:rsid w:val="006555B4"/>
    <w:rsid w:val="00660358"/>
    <w:rsid w:val="00667B18"/>
    <w:rsid w:val="00694D6F"/>
    <w:rsid w:val="006A037A"/>
    <w:rsid w:val="006B0670"/>
    <w:rsid w:val="00716D53"/>
    <w:rsid w:val="00767D58"/>
    <w:rsid w:val="0078188D"/>
    <w:rsid w:val="00795D89"/>
    <w:rsid w:val="007969D0"/>
    <w:rsid w:val="00840CBF"/>
    <w:rsid w:val="00850AF3"/>
    <w:rsid w:val="008574A6"/>
    <w:rsid w:val="00866206"/>
    <w:rsid w:val="008D6139"/>
    <w:rsid w:val="00902CCD"/>
    <w:rsid w:val="00905FF8"/>
    <w:rsid w:val="0094295A"/>
    <w:rsid w:val="009429C5"/>
    <w:rsid w:val="00956A95"/>
    <w:rsid w:val="00971C35"/>
    <w:rsid w:val="009B3945"/>
    <w:rsid w:val="009C6FA2"/>
    <w:rsid w:val="009F14F2"/>
    <w:rsid w:val="009F39C7"/>
    <w:rsid w:val="00A122B0"/>
    <w:rsid w:val="00A302FC"/>
    <w:rsid w:val="00A62E9B"/>
    <w:rsid w:val="00AB30B2"/>
    <w:rsid w:val="00B117B8"/>
    <w:rsid w:val="00B4215E"/>
    <w:rsid w:val="00B50318"/>
    <w:rsid w:val="00B56310"/>
    <w:rsid w:val="00B605A8"/>
    <w:rsid w:val="00B62D32"/>
    <w:rsid w:val="00BB2B86"/>
    <w:rsid w:val="00BD301B"/>
    <w:rsid w:val="00C65C39"/>
    <w:rsid w:val="00C72390"/>
    <w:rsid w:val="00CE3F80"/>
    <w:rsid w:val="00D000CB"/>
    <w:rsid w:val="00D90284"/>
    <w:rsid w:val="00D96E19"/>
    <w:rsid w:val="00DA7524"/>
    <w:rsid w:val="00DC21D5"/>
    <w:rsid w:val="00DF1D05"/>
    <w:rsid w:val="00E00F19"/>
    <w:rsid w:val="00E03118"/>
    <w:rsid w:val="00E2153D"/>
    <w:rsid w:val="00E46C4B"/>
    <w:rsid w:val="00E557B3"/>
    <w:rsid w:val="00E846CA"/>
    <w:rsid w:val="00E84782"/>
    <w:rsid w:val="00ED5791"/>
    <w:rsid w:val="00EE07BC"/>
    <w:rsid w:val="00EE0F1D"/>
    <w:rsid w:val="00F06369"/>
    <w:rsid w:val="00F13F0F"/>
    <w:rsid w:val="00F257E4"/>
    <w:rsid w:val="00F40181"/>
    <w:rsid w:val="00F80D93"/>
    <w:rsid w:val="00FA3906"/>
    <w:rsid w:val="00FB6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eld">
    <w:name w:val="Form Field"/>
    <w:basedOn w:val="Normal"/>
    <w:link w:val="FormFieldChar"/>
    <w:autoRedefine/>
    <w:qFormat/>
    <w:rsid w:val="000F6DDF"/>
    <w:rPr>
      <w:color w:val="4472C4" w:themeColor="accent1"/>
    </w:rPr>
  </w:style>
  <w:style w:type="character" w:customStyle="1" w:styleId="FormFieldChar">
    <w:name w:val="Form Field Char"/>
    <w:basedOn w:val="DefaultParagraphFont"/>
    <w:link w:val="FormField"/>
    <w:rsid w:val="000F6DDF"/>
    <w:rPr>
      <w:color w:val="4472C4" w:themeColor="accent1"/>
    </w:rPr>
  </w:style>
  <w:style w:type="character" w:customStyle="1" w:styleId="Heading2Char">
    <w:name w:val="Heading 2 Char"/>
    <w:basedOn w:val="DefaultParagraphFont"/>
    <w:link w:val="Heading2"/>
    <w:uiPriority w:val="9"/>
    <w:rsid w:val="00A302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02FC"/>
    <w:pPr>
      <w:ind w:left="720"/>
      <w:contextualSpacing/>
    </w:pPr>
  </w:style>
  <w:style w:type="paragraph" w:styleId="Title">
    <w:name w:val="Title"/>
    <w:basedOn w:val="Normal"/>
    <w:next w:val="Normal"/>
    <w:link w:val="TitleChar"/>
    <w:uiPriority w:val="10"/>
    <w:qFormat/>
    <w:rsid w:val="005F7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56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70A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0A3A"/>
    <w:rPr>
      <w:rFonts w:eastAsiaTheme="minorEastAsia"/>
      <w:lang w:val="en-US"/>
    </w:rPr>
  </w:style>
  <w:style w:type="character" w:customStyle="1" w:styleId="Heading1Char">
    <w:name w:val="Heading 1 Char"/>
    <w:basedOn w:val="DefaultParagraphFont"/>
    <w:link w:val="Heading1"/>
    <w:uiPriority w:val="9"/>
    <w:rsid w:val="00902CC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C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eld">
    <w:name w:val="Form Field"/>
    <w:basedOn w:val="Normal"/>
    <w:link w:val="FormFieldChar"/>
    <w:autoRedefine/>
    <w:qFormat/>
    <w:rsid w:val="000F6DDF"/>
    <w:rPr>
      <w:color w:val="4472C4" w:themeColor="accent1"/>
    </w:rPr>
  </w:style>
  <w:style w:type="character" w:customStyle="1" w:styleId="FormFieldChar">
    <w:name w:val="Form Field Char"/>
    <w:basedOn w:val="DefaultParagraphFont"/>
    <w:link w:val="FormField"/>
    <w:rsid w:val="000F6DDF"/>
    <w:rPr>
      <w:color w:val="4472C4" w:themeColor="accent1"/>
    </w:rPr>
  </w:style>
  <w:style w:type="character" w:customStyle="1" w:styleId="Heading2Char">
    <w:name w:val="Heading 2 Char"/>
    <w:basedOn w:val="DefaultParagraphFont"/>
    <w:link w:val="Heading2"/>
    <w:uiPriority w:val="9"/>
    <w:rsid w:val="00A302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02FC"/>
    <w:pPr>
      <w:ind w:left="720"/>
      <w:contextualSpacing/>
    </w:pPr>
  </w:style>
  <w:style w:type="paragraph" w:styleId="Title">
    <w:name w:val="Title"/>
    <w:basedOn w:val="Normal"/>
    <w:next w:val="Normal"/>
    <w:link w:val="TitleChar"/>
    <w:uiPriority w:val="10"/>
    <w:qFormat/>
    <w:rsid w:val="005F7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56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70A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0A3A"/>
    <w:rPr>
      <w:rFonts w:eastAsiaTheme="minorEastAsia"/>
      <w:lang w:val="en-US"/>
    </w:rPr>
  </w:style>
  <w:style w:type="character" w:customStyle="1" w:styleId="Heading1Char">
    <w:name w:val="Heading 1 Char"/>
    <w:basedOn w:val="DefaultParagraphFont"/>
    <w:link w:val="Heading1"/>
    <w:uiPriority w:val="9"/>
    <w:rsid w:val="00902CC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C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865"/>
    <w:rsid w:val="00633865"/>
    <w:rsid w:val="00786B1E"/>
    <w:rsid w:val="00C97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5FC778BA241DFAD6625CEDD47F351">
    <w:name w:val="4635FC778BA241DFAD6625CEDD47F351"/>
    <w:rsid w:val="00633865"/>
  </w:style>
  <w:style w:type="paragraph" w:customStyle="1" w:styleId="734EDA2CBABF4662828333D92F1A6853">
    <w:name w:val="734EDA2CBABF4662828333D92F1A6853"/>
    <w:rsid w:val="00633865"/>
  </w:style>
  <w:style w:type="paragraph" w:customStyle="1" w:styleId="90855DBDD06449B2A83FC93EF6102B52">
    <w:name w:val="90855DBDD06449B2A83FC93EF6102B52"/>
    <w:rsid w:val="00633865"/>
  </w:style>
  <w:style w:type="paragraph" w:customStyle="1" w:styleId="8BA48AA464A54EBB9E6AB07454B514DF">
    <w:name w:val="8BA48AA464A54EBB9E6AB07454B514DF"/>
    <w:rsid w:val="00633865"/>
  </w:style>
  <w:style w:type="paragraph" w:customStyle="1" w:styleId="70D29AB90C354C74883D1428E27610CC">
    <w:name w:val="70D29AB90C354C74883D1428E27610CC"/>
    <w:rsid w:val="00633865"/>
  </w:style>
  <w:style w:type="paragraph" w:customStyle="1" w:styleId="5D2AF1C9912F40979A256C9ED18360F9">
    <w:name w:val="5D2AF1C9912F40979A256C9ED18360F9"/>
    <w:rsid w:val="00633865"/>
  </w:style>
  <w:style w:type="paragraph" w:customStyle="1" w:styleId="F8BABC1CEE204E19BBE56670FFCB12DD">
    <w:name w:val="F8BABC1CEE204E19BBE56670FFCB12DD"/>
    <w:rsid w:val="00633865"/>
  </w:style>
  <w:style w:type="paragraph" w:customStyle="1" w:styleId="A34F56F6035140AC87139A580D34E2B0">
    <w:name w:val="A34F56F6035140AC87139A580D34E2B0"/>
    <w:rsid w:val="00633865"/>
  </w:style>
  <w:style w:type="paragraph" w:customStyle="1" w:styleId="9E52170C0D8D420DB11A3765A1B80A86">
    <w:name w:val="9E52170C0D8D420DB11A3765A1B80A86"/>
    <w:rsid w:val="00633865"/>
  </w:style>
  <w:style w:type="paragraph" w:customStyle="1" w:styleId="36ABFF345F7C4B80A70DCFFD5299802B">
    <w:name w:val="36ABFF345F7C4B80A70DCFFD5299802B"/>
    <w:rsid w:val="00633865"/>
  </w:style>
  <w:style w:type="paragraph" w:customStyle="1" w:styleId="87EFBDA4742A44DD8758BC8DC2DD99AC">
    <w:name w:val="87EFBDA4742A44DD8758BC8DC2DD99AC"/>
    <w:rsid w:val="00633865"/>
  </w:style>
  <w:style w:type="paragraph" w:customStyle="1" w:styleId="310D4A08478D4F3397D1DEA3236A448F">
    <w:name w:val="310D4A08478D4F3397D1DEA3236A448F"/>
    <w:rsid w:val="00633865"/>
  </w:style>
  <w:style w:type="paragraph" w:customStyle="1" w:styleId="214A7C1F0FE74E8ABAFF64B2FE0DD7B8">
    <w:name w:val="214A7C1F0FE74E8ABAFF64B2FE0DD7B8"/>
    <w:rsid w:val="00633865"/>
  </w:style>
  <w:style w:type="paragraph" w:customStyle="1" w:styleId="663206580A714C109CCD26654233F074">
    <w:name w:val="663206580A714C109CCD26654233F074"/>
    <w:rsid w:val="006338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5FC778BA241DFAD6625CEDD47F351">
    <w:name w:val="4635FC778BA241DFAD6625CEDD47F351"/>
    <w:rsid w:val="00633865"/>
  </w:style>
  <w:style w:type="paragraph" w:customStyle="1" w:styleId="734EDA2CBABF4662828333D92F1A6853">
    <w:name w:val="734EDA2CBABF4662828333D92F1A6853"/>
    <w:rsid w:val="00633865"/>
  </w:style>
  <w:style w:type="paragraph" w:customStyle="1" w:styleId="90855DBDD06449B2A83FC93EF6102B52">
    <w:name w:val="90855DBDD06449B2A83FC93EF6102B52"/>
    <w:rsid w:val="00633865"/>
  </w:style>
  <w:style w:type="paragraph" w:customStyle="1" w:styleId="8BA48AA464A54EBB9E6AB07454B514DF">
    <w:name w:val="8BA48AA464A54EBB9E6AB07454B514DF"/>
    <w:rsid w:val="00633865"/>
  </w:style>
  <w:style w:type="paragraph" w:customStyle="1" w:styleId="70D29AB90C354C74883D1428E27610CC">
    <w:name w:val="70D29AB90C354C74883D1428E27610CC"/>
    <w:rsid w:val="00633865"/>
  </w:style>
  <w:style w:type="paragraph" w:customStyle="1" w:styleId="5D2AF1C9912F40979A256C9ED18360F9">
    <w:name w:val="5D2AF1C9912F40979A256C9ED18360F9"/>
    <w:rsid w:val="00633865"/>
  </w:style>
  <w:style w:type="paragraph" w:customStyle="1" w:styleId="F8BABC1CEE204E19BBE56670FFCB12DD">
    <w:name w:val="F8BABC1CEE204E19BBE56670FFCB12DD"/>
    <w:rsid w:val="00633865"/>
  </w:style>
  <w:style w:type="paragraph" w:customStyle="1" w:styleId="A34F56F6035140AC87139A580D34E2B0">
    <w:name w:val="A34F56F6035140AC87139A580D34E2B0"/>
    <w:rsid w:val="00633865"/>
  </w:style>
  <w:style w:type="paragraph" w:customStyle="1" w:styleId="9E52170C0D8D420DB11A3765A1B80A86">
    <w:name w:val="9E52170C0D8D420DB11A3765A1B80A86"/>
    <w:rsid w:val="00633865"/>
  </w:style>
  <w:style w:type="paragraph" w:customStyle="1" w:styleId="36ABFF345F7C4B80A70DCFFD5299802B">
    <w:name w:val="36ABFF345F7C4B80A70DCFFD5299802B"/>
    <w:rsid w:val="00633865"/>
  </w:style>
  <w:style w:type="paragraph" w:customStyle="1" w:styleId="87EFBDA4742A44DD8758BC8DC2DD99AC">
    <w:name w:val="87EFBDA4742A44DD8758BC8DC2DD99AC"/>
    <w:rsid w:val="00633865"/>
  </w:style>
  <w:style w:type="paragraph" w:customStyle="1" w:styleId="310D4A08478D4F3397D1DEA3236A448F">
    <w:name w:val="310D4A08478D4F3397D1DEA3236A448F"/>
    <w:rsid w:val="00633865"/>
  </w:style>
  <w:style w:type="paragraph" w:customStyle="1" w:styleId="214A7C1F0FE74E8ABAFF64B2FE0DD7B8">
    <w:name w:val="214A7C1F0FE74E8ABAFF64B2FE0DD7B8"/>
    <w:rsid w:val="00633865"/>
  </w:style>
  <w:style w:type="paragraph" w:customStyle="1" w:styleId="663206580A714C109CCD26654233F074">
    <w:name w:val="663206580A714C109CCD26654233F074"/>
    <w:rsid w:val="00633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2018-08-27T00:00:00</PublishDate>
  <Abstract>This document is split into 3 sections:(1) How to determine the fee to change a user (2) Recording payments/refunds in the system (3) Reporting activity to the NES Finance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7B4F7-E2D7-4C24-8A31-957D9E9C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10</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Online Payments</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Payments</dc:title>
  <dc:subject/>
  <dc:creator>David Rome</dc:creator>
  <cp:keywords/>
  <dc:description/>
  <cp:lastModifiedBy>Gordon Paton</cp:lastModifiedBy>
  <cp:revision>67</cp:revision>
  <dcterms:created xsi:type="dcterms:W3CDTF">2018-08-23T08:47:00Z</dcterms:created>
  <dcterms:modified xsi:type="dcterms:W3CDTF">2018-11-20T07:45:00Z</dcterms:modified>
</cp:coreProperties>
</file>