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2581"/>
        <w:tblW w:w="0" w:type="auto"/>
        <w:tblLook w:val="04A0"/>
      </w:tblPr>
      <w:tblGrid>
        <w:gridCol w:w="2093"/>
        <w:gridCol w:w="7149"/>
      </w:tblGrid>
      <w:tr w:rsidR="00D134D5" w:rsidTr="009B5E27">
        <w:tc>
          <w:tcPr>
            <w:tcW w:w="2093" w:type="dxa"/>
          </w:tcPr>
          <w:p w:rsidR="00D134D5" w:rsidRPr="00D25051" w:rsidRDefault="00D134D5" w:rsidP="00D134D5">
            <w:pPr>
              <w:rPr>
                <w:b/>
              </w:rPr>
            </w:pPr>
            <w:r w:rsidRPr="00D25051">
              <w:rPr>
                <w:b/>
              </w:rPr>
              <w:t>Standard</w:t>
            </w:r>
          </w:p>
        </w:tc>
        <w:tc>
          <w:tcPr>
            <w:tcW w:w="7149" w:type="dxa"/>
          </w:tcPr>
          <w:p w:rsidR="00D134D5" w:rsidRDefault="00873E63" w:rsidP="00D134D5">
            <w:pPr>
              <w:rPr>
                <w:b/>
              </w:rPr>
            </w:pPr>
            <w:r>
              <w:rPr>
                <w:b/>
              </w:rPr>
              <w:t>Definitions, Reference Files and Standards for National Data</w:t>
            </w:r>
          </w:p>
          <w:p w:rsidR="00D134D5" w:rsidRPr="009B5E27" w:rsidRDefault="00D134D5" w:rsidP="00D134D5">
            <w:pPr>
              <w:rPr>
                <w:b/>
                <w:sz w:val="12"/>
                <w:szCs w:val="12"/>
              </w:rPr>
            </w:pPr>
          </w:p>
        </w:tc>
      </w:tr>
      <w:tr w:rsidR="00D134D5" w:rsidTr="009B5E27">
        <w:tc>
          <w:tcPr>
            <w:tcW w:w="2093" w:type="dxa"/>
          </w:tcPr>
          <w:p w:rsidR="00D134D5" w:rsidRDefault="00D134D5" w:rsidP="00D134D5">
            <w:r>
              <w:t>Origin of Standard</w:t>
            </w:r>
          </w:p>
        </w:tc>
        <w:tc>
          <w:tcPr>
            <w:tcW w:w="7149" w:type="dxa"/>
          </w:tcPr>
          <w:p w:rsidR="00D134D5" w:rsidRDefault="00873E63" w:rsidP="00D134D5">
            <w:r>
              <w:t>Data Management Service Area</w:t>
            </w:r>
            <w:r w:rsidR="00D07170">
              <w:t>, Public Health &amp; intelligence (PHI)</w:t>
            </w:r>
          </w:p>
          <w:p w:rsidR="00D134D5" w:rsidRPr="009B5E27" w:rsidRDefault="00D134D5" w:rsidP="00D134D5">
            <w:pPr>
              <w:rPr>
                <w:sz w:val="12"/>
                <w:szCs w:val="12"/>
              </w:rPr>
            </w:pPr>
          </w:p>
        </w:tc>
      </w:tr>
      <w:tr w:rsidR="00D134D5" w:rsidTr="009B5E27">
        <w:tc>
          <w:tcPr>
            <w:tcW w:w="2093" w:type="dxa"/>
          </w:tcPr>
          <w:p w:rsidR="00D134D5" w:rsidRDefault="00D134D5" w:rsidP="00D134D5">
            <w:r>
              <w:t>NSS author</w:t>
            </w:r>
          </w:p>
        </w:tc>
        <w:tc>
          <w:tcPr>
            <w:tcW w:w="7149" w:type="dxa"/>
          </w:tcPr>
          <w:p w:rsidR="00D134D5" w:rsidRDefault="00D134D5" w:rsidP="00D134D5">
            <w:r>
              <w:t>Scott Heald (</w:t>
            </w:r>
            <w:hyperlink r:id="rId8" w:history="1">
              <w:r w:rsidRPr="00511DD9">
                <w:rPr>
                  <w:rStyle w:val="Hyperlink"/>
                </w:rPr>
                <w:t>scott.heald@nhs.net</w:t>
              </w:r>
            </w:hyperlink>
            <w:r>
              <w:t>)</w:t>
            </w:r>
          </w:p>
          <w:p w:rsidR="00D134D5" w:rsidRPr="009B5E27" w:rsidRDefault="00D134D5" w:rsidP="00D134D5">
            <w:pPr>
              <w:rPr>
                <w:sz w:val="12"/>
                <w:szCs w:val="12"/>
              </w:rPr>
            </w:pPr>
          </w:p>
        </w:tc>
      </w:tr>
      <w:tr w:rsidR="00D134D5" w:rsidTr="009B5E27">
        <w:tc>
          <w:tcPr>
            <w:tcW w:w="2093" w:type="dxa"/>
          </w:tcPr>
          <w:p w:rsidR="00D134D5" w:rsidRDefault="00D134D5" w:rsidP="00D134D5">
            <w:r>
              <w:t>Date</w:t>
            </w:r>
          </w:p>
        </w:tc>
        <w:tc>
          <w:tcPr>
            <w:tcW w:w="7149" w:type="dxa"/>
          </w:tcPr>
          <w:p w:rsidR="00D134D5" w:rsidRDefault="00754877" w:rsidP="00D134D5">
            <w:r>
              <w:t>22</w:t>
            </w:r>
            <w:r w:rsidRPr="00754877">
              <w:rPr>
                <w:vertAlign w:val="superscript"/>
              </w:rPr>
              <w:t>nd</w:t>
            </w:r>
            <w:r>
              <w:t xml:space="preserve"> February 2018</w:t>
            </w:r>
          </w:p>
          <w:p w:rsidR="009B5E27" w:rsidRPr="009B5E27" w:rsidRDefault="009B5E27" w:rsidP="00D134D5">
            <w:pPr>
              <w:rPr>
                <w:sz w:val="12"/>
                <w:szCs w:val="12"/>
              </w:rPr>
            </w:pPr>
          </w:p>
        </w:tc>
      </w:tr>
      <w:tr w:rsidR="00D134D5" w:rsidTr="009B5E27">
        <w:tc>
          <w:tcPr>
            <w:tcW w:w="2093" w:type="dxa"/>
          </w:tcPr>
          <w:p w:rsidR="00D134D5" w:rsidRDefault="00D134D5" w:rsidP="00D134D5">
            <w:r>
              <w:t>Next Update</w:t>
            </w:r>
          </w:p>
        </w:tc>
        <w:tc>
          <w:tcPr>
            <w:tcW w:w="7149" w:type="dxa"/>
          </w:tcPr>
          <w:p w:rsidR="00D134D5" w:rsidRDefault="00754877" w:rsidP="00D134D5">
            <w:r>
              <w:t>February 2020</w:t>
            </w:r>
          </w:p>
          <w:p w:rsidR="009B5E27" w:rsidRPr="009B5E27" w:rsidRDefault="009B5E27" w:rsidP="00D134D5">
            <w:pPr>
              <w:rPr>
                <w:sz w:val="12"/>
                <w:szCs w:val="12"/>
              </w:rPr>
            </w:pPr>
          </w:p>
        </w:tc>
      </w:tr>
    </w:tbl>
    <w:p w:rsidR="00D25051" w:rsidRDefault="00D25051" w:rsidP="00D134D5">
      <w:pPr>
        <w:spacing w:after="0"/>
        <w:rPr>
          <w:b/>
        </w:rPr>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What is the purpose of this standard?</w:t>
            </w:r>
          </w:p>
          <w:p w:rsidR="00D134D5" w:rsidRPr="00D134D5" w:rsidRDefault="00D134D5">
            <w:pPr>
              <w:rPr>
                <w:b/>
                <w:sz w:val="12"/>
                <w:szCs w:val="12"/>
              </w:rPr>
            </w:pPr>
          </w:p>
        </w:tc>
      </w:tr>
      <w:tr w:rsidR="00D25051" w:rsidTr="00D25051">
        <w:tc>
          <w:tcPr>
            <w:tcW w:w="9242" w:type="dxa"/>
          </w:tcPr>
          <w:p w:rsidR="00873E63" w:rsidRDefault="00873E63" w:rsidP="00873E63">
            <w:pPr>
              <w:pStyle w:val="NormalWeb"/>
              <w:spacing w:before="0" w:beforeAutospacing="0" w:after="0" w:afterAutospacing="0" w:line="240" w:lineRule="auto"/>
              <w:rPr>
                <w:rFonts w:asciiTheme="minorHAnsi" w:hAnsiTheme="minorHAnsi"/>
                <w:sz w:val="22"/>
                <w:szCs w:val="22"/>
              </w:rPr>
            </w:pPr>
            <w:r w:rsidRPr="00873E63">
              <w:rPr>
                <w:rFonts w:asciiTheme="minorHAnsi" w:hAnsiTheme="minorHAnsi"/>
                <w:sz w:val="22"/>
                <w:szCs w:val="22"/>
              </w:rPr>
              <w:t>In order to quantify, compare, contrast and re-use healthcare information in a meaningful way at a national level, data must be recorded using recognised healthcare data standards, definitions, classifications and terminologies. The information produced from these data can then be used to support strategic decision making which will improve the health of the people of Scotland and support a timely, effective, safe and efficient healthcare service.</w:t>
            </w:r>
          </w:p>
          <w:p w:rsidR="00873E63" w:rsidRPr="00873E63" w:rsidRDefault="00873E63" w:rsidP="00873E63">
            <w:pPr>
              <w:pStyle w:val="NormalWeb"/>
              <w:spacing w:before="0" w:beforeAutospacing="0" w:after="0" w:afterAutospacing="0" w:line="240" w:lineRule="auto"/>
              <w:rPr>
                <w:rFonts w:asciiTheme="minorHAnsi" w:hAnsiTheme="minorHAnsi"/>
                <w:sz w:val="12"/>
                <w:szCs w:val="12"/>
              </w:rPr>
            </w:pPr>
          </w:p>
          <w:p w:rsidR="003F3DEF" w:rsidRPr="00873E63" w:rsidRDefault="00873E63" w:rsidP="00873E63">
            <w:pPr>
              <w:pStyle w:val="NormalWeb"/>
              <w:spacing w:before="0" w:beforeAutospacing="0" w:after="0" w:afterAutospacing="0" w:line="240" w:lineRule="auto"/>
              <w:rPr>
                <w:rFonts w:asciiTheme="minorHAnsi" w:hAnsiTheme="minorHAnsi"/>
                <w:sz w:val="22"/>
                <w:szCs w:val="22"/>
              </w:rPr>
            </w:pPr>
            <w:r w:rsidRPr="00873E63">
              <w:rPr>
                <w:rFonts w:asciiTheme="minorHAnsi" w:hAnsiTheme="minorHAnsi"/>
                <w:sz w:val="22"/>
                <w:szCs w:val="22"/>
              </w:rPr>
              <w:t xml:space="preserve">National Data Standards are essential in order for the health and healthcare data held by </w:t>
            </w:r>
            <w:r>
              <w:rPr>
                <w:rFonts w:asciiTheme="minorHAnsi" w:hAnsiTheme="minorHAnsi"/>
                <w:sz w:val="22"/>
                <w:szCs w:val="22"/>
              </w:rPr>
              <w:t>NSS</w:t>
            </w:r>
            <w:r w:rsidRPr="00873E63">
              <w:rPr>
                <w:rFonts w:asciiTheme="minorHAnsi" w:hAnsiTheme="minorHAnsi"/>
                <w:sz w:val="22"/>
                <w:szCs w:val="22"/>
              </w:rPr>
              <w:t xml:space="preserve"> to be of high quality. They ensure that the data are collected throughout Scotland according to the same classifications and rules and the data is interchanged between systems consistently, robustly and securely. </w:t>
            </w:r>
          </w:p>
        </w:tc>
      </w:tr>
    </w:tbl>
    <w:p w:rsidR="00D25051" w:rsidRDefault="00D25051" w:rsidP="00D134D5">
      <w:pPr>
        <w:spacing w:after="0"/>
        <w:rPr>
          <w:b/>
        </w:rPr>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Who is this standard aimed at?</w:t>
            </w:r>
          </w:p>
          <w:p w:rsidR="00D134D5" w:rsidRPr="00D134D5" w:rsidRDefault="00D134D5">
            <w:pPr>
              <w:rPr>
                <w:b/>
                <w:sz w:val="12"/>
                <w:szCs w:val="12"/>
              </w:rPr>
            </w:pPr>
          </w:p>
        </w:tc>
      </w:tr>
      <w:tr w:rsidR="00D25051" w:rsidTr="00D25051">
        <w:tc>
          <w:tcPr>
            <w:tcW w:w="9242" w:type="dxa"/>
          </w:tcPr>
          <w:p w:rsidR="00D25051" w:rsidRPr="003F3DEF" w:rsidRDefault="00873E63" w:rsidP="00873E63">
            <w:r>
              <w:t>This standard is aimed at anyone involved in the development, collection and analysis of national data, including</w:t>
            </w:r>
            <w:r w:rsidRPr="00873E63">
              <w:t xml:space="preserve"> clinicians, project and information managers, clinical coding staff, administrators, healthcare researchers, information analysts and software developers.</w:t>
            </w:r>
          </w:p>
        </w:tc>
      </w:tr>
    </w:tbl>
    <w:p w:rsidR="00D25051" w:rsidRDefault="00D25051" w:rsidP="00D134D5">
      <w:pPr>
        <w:spacing w:after="0"/>
      </w:pPr>
    </w:p>
    <w:tbl>
      <w:tblPr>
        <w:tblStyle w:val="TableGrid"/>
        <w:tblW w:w="0" w:type="auto"/>
        <w:tblLook w:val="04A0"/>
      </w:tblPr>
      <w:tblGrid>
        <w:gridCol w:w="9242"/>
      </w:tblGrid>
      <w:tr w:rsidR="00D25051" w:rsidTr="00D25051">
        <w:tc>
          <w:tcPr>
            <w:tcW w:w="9242" w:type="dxa"/>
          </w:tcPr>
          <w:p w:rsidR="00D25051" w:rsidRDefault="00D25051">
            <w:pPr>
              <w:rPr>
                <w:b/>
              </w:rPr>
            </w:pPr>
            <w:r w:rsidRPr="00D25051">
              <w:rPr>
                <w:b/>
              </w:rPr>
              <w:t>How do I access this standard?</w:t>
            </w:r>
          </w:p>
          <w:p w:rsidR="00D134D5" w:rsidRPr="00D134D5" w:rsidRDefault="00D134D5">
            <w:pPr>
              <w:rPr>
                <w:b/>
                <w:sz w:val="12"/>
                <w:szCs w:val="12"/>
              </w:rPr>
            </w:pPr>
          </w:p>
        </w:tc>
      </w:tr>
      <w:tr w:rsidR="00D25051" w:rsidTr="00D25051">
        <w:tc>
          <w:tcPr>
            <w:tcW w:w="9242" w:type="dxa"/>
          </w:tcPr>
          <w:p w:rsidR="00873E63" w:rsidRPr="00873E63" w:rsidRDefault="00873E63" w:rsidP="00873E63">
            <w:pPr>
              <w:pStyle w:val="NormalWeb"/>
              <w:spacing w:before="0" w:beforeAutospacing="0" w:after="0" w:afterAutospacing="0" w:line="240" w:lineRule="auto"/>
              <w:rPr>
                <w:rFonts w:asciiTheme="minorHAnsi" w:hAnsiTheme="minorHAnsi"/>
                <w:sz w:val="22"/>
                <w:szCs w:val="22"/>
              </w:rPr>
            </w:pPr>
            <w:r w:rsidRPr="00873E63">
              <w:rPr>
                <w:rFonts w:asciiTheme="minorHAnsi" w:hAnsiTheme="minorHAnsi"/>
                <w:sz w:val="22"/>
                <w:szCs w:val="22"/>
              </w:rPr>
              <w:t>Data Standards encompass a range of products and tools which include National Data Definitions and National Reference Files. These are available on the ISD website at:</w:t>
            </w:r>
          </w:p>
          <w:p w:rsidR="00873E63" w:rsidRDefault="00105BBF" w:rsidP="00873E63">
            <w:pPr>
              <w:pStyle w:val="NormalWeb"/>
              <w:spacing w:before="0" w:beforeAutospacing="0" w:after="0" w:afterAutospacing="0" w:line="240" w:lineRule="auto"/>
              <w:rPr>
                <w:rFonts w:asciiTheme="minorHAnsi" w:hAnsiTheme="minorHAnsi"/>
                <w:sz w:val="22"/>
                <w:szCs w:val="22"/>
              </w:rPr>
            </w:pPr>
            <w:hyperlink r:id="rId9" w:history="1">
              <w:r w:rsidR="00873E63" w:rsidRPr="00873E63">
                <w:rPr>
                  <w:rStyle w:val="Hyperlink"/>
                  <w:rFonts w:asciiTheme="minorHAnsi" w:hAnsiTheme="minorHAnsi"/>
                  <w:sz w:val="22"/>
                  <w:szCs w:val="22"/>
                </w:rPr>
                <w:t>http://www.isdscotland.org/Products-and-Services/Data-Definitions-and-References/</w:t>
              </w:r>
            </w:hyperlink>
          </w:p>
          <w:p w:rsidR="00873E63" w:rsidRPr="00873E63" w:rsidRDefault="00873E63" w:rsidP="00873E63">
            <w:pPr>
              <w:pStyle w:val="NormalWeb"/>
              <w:spacing w:before="0" w:beforeAutospacing="0" w:after="0" w:afterAutospacing="0" w:line="240" w:lineRule="auto"/>
              <w:rPr>
                <w:rFonts w:asciiTheme="minorHAnsi" w:hAnsiTheme="minorHAnsi"/>
                <w:sz w:val="22"/>
                <w:szCs w:val="22"/>
              </w:rPr>
            </w:pPr>
          </w:p>
          <w:p w:rsidR="00873E63" w:rsidRPr="00873E63" w:rsidRDefault="00873E63" w:rsidP="00873E63">
            <w:pPr>
              <w:pStyle w:val="NormalWeb"/>
              <w:spacing w:before="0" w:beforeAutospacing="0" w:after="0" w:afterAutospacing="0" w:line="240" w:lineRule="auto"/>
              <w:rPr>
                <w:rFonts w:asciiTheme="minorHAnsi" w:hAnsiTheme="minorHAnsi"/>
                <w:sz w:val="22"/>
                <w:szCs w:val="22"/>
              </w:rPr>
            </w:pPr>
            <w:r w:rsidRPr="00873E63">
              <w:rPr>
                <w:rFonts w:asciiTheme="minorHAnsi" w:hAnsiTheme="minorHAnsi"/>
                <w:sz w:val="22"/>
                <w:szCs w:val="22"/>
              </w:rPr>
              <w:t>Products include:</w:t>
            </w:r>
          </w:p>
          <w:p w:rsidR="00873E63" w:rsidRPr="00873E63" w:rsidRDefault="00105BBF" w:rsidP="00873E63">
            <w:pPr>
              <w:pStyle w:val="NormalWeb"/>
              <w:spacing w:before="0" w:beforeAutospacing="0" w:after="0" w:afterAutospacing="0" w:line="240" w:lineRule="auto"/>
              <w:rPr>
                <w:rFonts w:asciiTheme="minorHAnsi" w:hAnsiTheme="minorHAnsi"/>
                <w:sz w:val="22"/>
                <w:szCs w:val="22"/>
              </w:rPr>
            </w:pPr>
            <w:hyperlink r:id="rId10" w:tgtFrame="_blank" w:history="1">
              <w:r w:rsidR="00873E63" w:rsidRPr="00873E63">
                <w:rPr>
                  <w:rFonts w:asciiTheme="minorHAnsi" w:hAnsiTheme="minorHAnsi"/>
                  <w:color w:val="003366"/>
                  <w:sz w:val="22"/>
                  <w:szCs w:val="22"/>
                  <w:u w:val="single"/>
                </w:rPr>
                <w:t xml:space="preserve">National Data Catalogue </w:t>
              </w:r>
              <w:r w:rsidR="00873E63" w:rsidRPr="00873E63">
                <w:rPr>
                  <w:rFonts w:asciiTheme="minorHAnsi" w:hAnsiTheme="minorHAnsi"/>
                  <w:noProof/>
                  <w:color w:val="003366"/>
                  <w:sz w:val="22"/>
                  <w:szCs w:val="22"/>
                </w:rPr>
                <w:drawing>
                  <wp:inline distT="0" distB="0" distL="0" distR="0">
                    <wp:extent cx="133350" cy="133350"/>
                    <wp:effectExtent l="19050" t="0" r="0" b="0"/>
                    <wp:docPr id="4" name="Picture 1" descr="Opens in new windo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s in new window">
                              <a:hlinkClick r:id="rId10" tgtFrame="&quot;_blank&quot;"/>
                            </pic:cNvPr>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00873E63" w:rsidRPr="00873E63">
                <w:rPr>
                  <w:rFonts w:asciiTheme="minorHAnsi" w:hAnsiTheme="minorHAnsi"/>
                  <w:color w:val="003366"/>
                  <w:sz w:val="22"/>
                  <w:szCs w:val="22"/>
                  <w:u w:val="single"/>
                </w:rPr>
                <w:br/>
              </w:r>
            </w:hyperlink>
            <w:r w:rsidR="00873E63" w:rsidRPr="00873E63">
              <w:rPr>
                <w:rFonts w:asciiTheme="minorHAnsi" w:hAnsiTheme="minorHAnsi"/>
                <w:sz w:val="22"/>
                <w:szCs w:val="22"/>
              </w:rPr>
              <w:t>The National Data Catalogue (NDC) details the full list of datasets that are held by ISD. Further information on each of the datasets is available by selecting the dataset name using either the A-Z or the dataset groupings in the left hand bar. The NDC also incorporates the ISD Data Dictionary.</w:t>
            </w:r>
          </w:p>
          <w:p w:rsidR="00873E63" w:rsidRPr="00873E63" w:rsidRDefault="00105BBF" w:rsidP="00873E63">
            <w:pPr>
              <w:pStyle w:val="NormalWeb"/>
              <w:spacing w:before="0" w:beforeAutospacing="0" w:after="0" w:afterAutospacing="0" w:line="240" w:lineRule="auto"/>
              <w:rPr>
                <w:rFonts w:asciiTheme="minorHAnsi" w:hAnsiTheme="minorHAnsi"/>
                <w:sz w:val="22"/>
                <w:szCs w:val="22"/>
              </w:rPr>
            </w:pPr>
            <w:hyperlink r:id="rId12" w:tgtFrame="_blank" w:history="1">
              <w:r w:rsidR="00873E63" w:rsidRPr="00873E63">
                <w:rPr>
                  <w:rFonts w:asciiTheme="minorHAnsi" w:hAnsiTheme="minorHAnsi"/>
                  <w:color w:val="003366"/>
                  <w:sz w:val="22"/>
                  <w:szCs w:val="22"/>
                  <w:u w:val="single"/>
                </w:rPr>
                <w:t xml:space="preserve">Data Dictionary </w:t>
              </w:r>
            </w:hyperlink>
            <w:r w:rsidR="00873E63" w:rsidRPr="00873E63">
              <w:rPr>
                <w:rFonts w:asciiTheme="minorHAnsi" w:hAnsiTheme="minorHAnsi"/>
                <w:noProof/>
                <w:color w:val="003366"/>
                <w:sz w:val="22"/>
                <w:szCs w:val="22"/>
              </w:rPr>
              <w:drawing>
                <wp:inline distT="0" distB="0" distL="0" distR="0">
                  <wp:extent cx="133350" cy="133350"/>
                  <wp:effectExtent l="19050" t="0" r="0" b="0"/>
                  <wp:docPr id="1" name="Picture 2" descr="Opens in new window">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s in new window">
                            <a:hlinkClick r:id="rId10" tgtFrame="&quot;_blank&quot;"/>
                          </pic:cNvPr>
                          <pic:cNvPicPr>
                            <a:picLocks noChangeAspect="1" noChangeArrowheads="1"/>
                          </pic:cNvPicPr>
                        </pic:nvPicPr>
                        <pic:blipFill>
                          <a:blip r:embed="rId1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hyperlink r:id="rId13" w:tgtFrame="_blank" w:history="1">
              <w:r w:rsidR="00873E63" w:rsidRPr="00873E63">
                <w:rPr>
                  <w:rFonts w:asciiTheme="minorHAnsi" w:hAnsiTheme="minorHAnsi"/>
                  <w:color w:val="003366"/>
                  <w:sz w:val="22"/>
                  <w:szCs w:val="22"/>
                  <w:u w:val="single"/>
                </w:rPr>
                <w:br/>
              </w:r>
            </w:hyperlink>
            <w:r w:rsidR="00873E63" w:rsidRPr="00873E63">
              <w:rPr>
                <w:rFonts w:asciiTheme="minorHAnsi" w:hAnsiTheme="minorHAnsi"/>
                <w:sz w:val="22"/>
                <w:szCs w:val="22"/>
              </w:rPr>
              <w:t xml:space="preserve">The Data Dictionary is the main online source for health and social care data definitions and standards in Scotland. </w:t>
            </w:r>
          </w:p>
          <w:p w:rsidR="00873E63" w:rsidRPr="00873E63" w:rsidRDefault="00105BBF" w:rsidP="00873E63">
            <w:pPr>
              <w:pStyle w:val="NormalWeb"/>
              <w:spacing w:before="0" w:beforeAutospacing="0" w:after="0" w:afterAutospacing="0" w:line="240" w:lineRule="auto"/>
              <w:rPr>
                <w:rFonts w:asciiTheme="minorHAnsi" w:hAnsiTheme="minorHAnsi"/>
                <w:sz w:val="22"/>
                <w:szCs w:val="22"/>
              </w:rPr>
            </w:pPr>
            <w:hyperlink r:id="rId14" w:history="1">
              <w:r w:rsidR="00873E63" w:rsidRPr="00873E63">
                <w:rPr>
                  <w:rFonts w:asciiTheme="minorHAnsi" w:hAnsiTheme="minorHAnsi"/>
                  <w:color w:val="003366"/>
                  <w:sz w:val="22"/>
                  <w:szCs w:val="22"/>
                  <w:u w:val="single"/>
                </w:rPr>
                <w:t>Definitions and Reference Files Service</w:t>
              </w:r>
            </w:hyperlink>
            <w:r w:rsidR="00873E63" w:rsidRPr="00873E63">
              <w:rPr>
                <w:rFonts w:asciiTheme="minorHAnsi" w:hAnsiTheme="minorHAnsi"/>
                <w:sz w:val="22"/>
                <w:szCs w:val="22"/>
              </w:rPr>
              <w:t xml:space="preserve"> - provides an advisory service to NHS Scotland on the interpretation and application of the definitions, codes and recording rules.</w:t>
            </w:r>
          </w:p>
          <w:p w:rsidR="00754877" w:rsidRPr="003F3DEF" w:rsidRDefault="00754877" w:rsidP="00873E63">
            <w:pPr>
              <w:pStyle w:val="NormalWeb"/>
              <w:spacing w:before="0" w:beforeAutospacing="0" w:after="0" w:afterAutospacing="0" w:line="240" w:lineRule="auto"/>
              <w:rPr>
                <w:sz w:val="12"/>
                <w:szCs w:val="12"/>
              </w:rPr>
            </w:pPr>
          </w:p>
        </w:tc>
      </w:tr>
    </w:tbl>
    <w:p w:rsidR="00D25051" w:rsidRDefault="00D25051"/>
    <w:sectPr w:rsidR="00D25051" w:rsidSect="00D134D5">
      <w:headerReference w:type="even" r:id="rId15"/>
      <w:headerReference w:type="default" r:id="rId16"/>
      <w:footerReference w:type="even" r:id="rId17"/>
      <w:footerReference w:type="default" r:id="rId18"/>
      <w:headerReference w:type="first" r:id="rId19"/>
      <w:footerReference w:type="first" r:id="rId20"/>
      <w:pgSz w:w="11906" w:h="16838"/>
      <w:pgMar w:top="1134" w:right="1440" w:bottom="851"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C77" w:rsidRDefault="007E5C77" w:rsidP="00D134D5">
      <w:pPr>
        <w:spacing w:after="0" w:line="240" w:lineRule="auto"/>
      </w:pPr>
      <w:r>
        <w:separator/>
      </w:r>
    </w:p>
  </w:endnote>
  <w:endnote w:type="continuationSeparator" w:id="0">
    <w:p w:rsidR="007E5C77" w:rsidRDefault="007E5C77" w:rsidP="00D134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BDC" w:rsidRDefault="00FE3B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DEF" w:rsidRDefault="003F3DEF" w:rsidP="00D134D5"/>
  <w:p w:rsidR="003F3DEF" w:rsidRDefault="00FE3BDC" w:rsidP="00FE3BDC">
    <w:r>
      <w:t xml:space="preserve">Contact:   </w:t>
    </w:r>
    <w:r w:rsidR="00873E63">
      <w:t>Ian Baillie</w:t>
    </w:r>
    <w:r>
      <w:t xml:space="preserve">, </w:t>
    </w:r>
    <w:r w:rsidR="00873E63">
      <w:t xml:space="preserve">Information Manager, </w:t>
    </w:r>
    <w:r>
      <w:t>tel. 0131 275 6</w:t>
    </w:r>
    <w:r w:rsidR="00873E63">
      <w:t>038</w:t>
    </w:r>
    <w:r>
      <w:t xml:space="preserve">, </w:t>
    </w:r>
    <w:hyperlink r:id="rId1" w:history="1">
      <w:r w:rsidR="00873E63">
        <w:rPr>
          <w:color w:val="003366"/>
          <w:u w:val="single"/>
        </w:rPr>
        <w:t>nss.isdDefinitions@nhs.net</w:t>
      </w:r>
    </w:hyperlink>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BDC" w:rsidRDefault="00FE3B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C77" w:rsidRDefault="007E5C77" w:rsidP="00D134D5">
      <w:pPr>
        <w:spacing w:after="0" w:line="240" w:lineRule="auto"/>
      </w:pPr>
      <w:r>
        <w:separator/>
      </w:r>
    </w:p>
  </w:footnote>
  <w:footnote w:type="continuationSeparator" w:id="0">
    <w:p w:rsidR="007E5C77" w:rsidRDefault="007E5C77" w:rsidP="00D134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BDC" w:rsidRDefault="00FE3B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DEF" w:rsidRDefault="003F3DEF" w:rsidP="00D134D5">
    <w:pPr>
      <w:jc w:val="right"/>
    </w:pPr>
    <w:r w:rsidRPr="00D25051">
      <w:rPr>
        <w:b/>
        <w:color w:val="00B0F0"/>
      </w:rPr>
      <w:t>NSS Digital</w:t>
    </w:r>
    <w:r>
      <w:rPr>
        <w:noProof/>
        <w:lang w:eastAsia="en-GB"/>
      </w:rPr>
      <w:drawing>
        <wp:inline distT="0" distB="0" distL="0" distR="0">
          <wp:extent cx="791633" cy="838200"/>
          <wp:effectExtent l="0" t="0" r="0" b="0"/>
          <wp:docPr id="2" name="Picture 1" descr="C:\Users\scotth03\AppData\Local\Microsoft\Windows\Temporary Internet Files\Content.Outlook\5VX5HR5U\digi 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h03\AppData\Local\Microsoft\Windows\Temporary Internet Files\Content.Outlook\5VX5HR5U\digi icon-2.png"/>
                  <pic:cNvPicPr>
                    <a:picLocks noChangeAspect="1" noChangeArrowheads="1"/>
                  </pic:cNvPicPr>
                </pic:nvPicPr>
                <pic:blipFill>
                  <a:blip r:embed="rId1"/>
                  <a:srcRect/>
                  <a:stretch>
                    <a:fillRect/>
                  </a:stretch>
                </pic:blipFill>
                <pic:spPr bwMode="auto">
                  <a:xfrm>
                    <a:off x="0" y="0"/>
                    <a:ext cx="791633" cy="8382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BDC" w:rsidRDefault="00FE3B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269C7"/>
    <w:multiLevelType w:val="hybridMultilevel"/>
    <w:tmpl w:val="72BC2642"/>
    <w:lvl w:ilvl="0" w:tplc="9216BD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05229"/>
    <w:multiLevelType w:val="hybridMultilevel"/>
    <w:tmpl w:val="75A6E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F15656"/>
    <w:multiLevelType w:val="hybridMultilevel"/>
    <w:tmpl w:val="BE1CE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FA0128B"/>
    <w:multiLevelType w:val="hybridMultilevel"/>
    <w:tmpl w:val="071AF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4F34DCF"/>
    <w:multiLevelType w:val="hybridMultilevel"/>
    <w:tmpl w:val="7CCE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1"/>
    <w:footnote w:id="0"/>
  </w:footnotePr>
  <w:endnotePr>
    <w:endnote w:id="-1"/>
    <w:endnote w:id="0"/>
  </w:endnotePr>
  <w:compat/>
  <w:rsids>
    <w:rsidRoot w:val="00D25051"/>
    <w:rsid w:val="00032B64"/>
    <w:rsid w:val="000E7A55"/>
    <w:rsid w:val="00105BBF"/>
    <w:rsid w:val="00270430"/>
    <w:rsid w:val="003913F3"/>
    <w:rsid w:val="003F3DEF"/>
    <w:rsid w:val="00526819"/>
    <w:rsid w:val="006C37BB"/>
    <w:rsid w:val="006C4F27"/>
    <w:rsid w:val="00754877"/>
    <w:rsid w:val="007A3FD6"/>
    <w:rsid w:val="007E5C77"/>
    <w:rsid w:val="00873E63"/>
    <w:rsid w:val="009B5E27"/>
    <w:rsid w:val="009E5EBB"/>
    <w:rsid w:val="00B4368D"/>
    <w:rsid w:val="00B941B1"/>
    <w:rsid w:val="00B96163"/>
    <w:rsid w:val="00C0210F"/>
    <w:rsid w:val="00D07170"/>
    <w:rsid w:val="00D134D5"/>
    <w:rsid w:val="00D25051"/>
    <w:rsid w:val="00D27212"/>
    <w:rsid w:val="00D51CB3"/>
    <w:rsid w:val="00FE3B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8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5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5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051"/>
    <w:rPr>
      <w:rFonts w:ascii="Tahoma" w:hAnsi="Tahoma" w:cs="Tahoma"/>
      <w:sz w:val="16"/>
      <w:szCs w:val="16"/>
    </w:rPr>
  </w:style>
  <w:style w:type="character" w:styleId="Hyperlink">
    <w:name w:val="Hyperlink"/>
    <w:basedOn w:val="DefaultParagraphFont"/>
    <w:uiPriority w:val="99"/>
    <w:unhideWhenUsed/>
    <w:rsid w:val="00D25051"/>
    <w:rPr>
      <w:color w:val="0000FF" w:themeColor="hyperlink"/>
      <w:u w:val="single"/>
    </w:rPr>
  </w:style>
  <w:style w:type="paragraph" w:styleId="Header">
    <w:name w:val="header"/>
    <w:basedOn w:val="Normal"/>
    <w:link w:val="HeaderChar"/>
    <w:uiPriority w:val="99"/>
    <w:unhideWhenUsed/>
    <w:rsid w:val="00D13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4D5"/>
  </w:style>
  <w:style w:type="paragraph" w:styleId="Footer">
    <w:name w:val="footer"/>
    <w:basedOn w:val="Normal"/>
    <w:link w:val="FooterChar"/>
    <w:uiPriority w:val="99"/>
    <w:semiHidden/>
    <w:unhideWhenUsed/>
    <w:rsid w:val="00D134D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34D5"/>
  </w:style>
  <w:style w:type="paragraph" w:styleId="ListParagraph">
    <w:name w:val="List Paragraph"/>
    <w:basedOn w:val="Normal"/>
    <w:uiPriority w:val="34"/>
    <w:qFormat/>
    <w:rsid w:val="00D134D5"/>
    <w:pPr>
      <w:ind w:left="720"/>
      <w:contextualSpacing/>
    </w:pPr>
  </w:style>
  <w:style w:type="paragraph" w:styleId="NormalWeb">
    <w:name w:val="Normal (Web)"/>
    <w:basedOn w:val="Normal"/>
    <w:uiPriority w:val="99"/>
    <w:unhideWhenUsed/>
    <w:rsid w:val="003F3DEF"/>
    <w:pPr>
      <w:spacing w:before="100" w:beforeAutospacing="1" w:after="100" w:afterAutospacing="1" w:line="360" w:lineRule="auto"/>
    </w:pPr>
    <w:rPr>
      <w:rFonts w:ascii="Arial" w:eastAsia="Times New Roman" w:hAnsi="Arial" w:cs="Arial"/>
      <w:color w:val="000000"/>
      <w:sz w:val="19"/>
      <w:szCs w:val="19"/>
      <w:lang w:eastAsia="en-GB"/>
    </w:rPr>
  </w:style>
  <w:style w:type="character" w:styleId="Strong">
    <w:name w:val="Strong"/>
    <w:basedOn w:val="DefaultParagraphFont"/>
    <w:uiPriority w:val="22"/>
    <w:qFormat/>
    <w:rsid w:val="00873E63"/>
    <w:rPr>
      <w:b/>
      <w:bCs/>
    </w:rPr>
  </w:style>
</w:styles>
</file>

<file path=word/webSettings.xml><?xml version="1.0" encoding="utf-8"?>
<w:webSettings xmlns:r="http://schemas.openxmlformats.org/officeDocument/2006/relationships" xmlns:w="http://schemas.openxmlformats.org/wordprocessingml/2006/main">
  <w:divs>
    <w:div w:id="1370061946">
      <w:bodyDiv w:val="1"/>
      <w:marLeft w:val="0"/>
      <w:marRight w:val="0"/>
      <w:marTop w:val="0"/>
      <w:marBottom w:val="0"/>
      <w:divBdr>
        <w:top w:val="none" w:sz="0" w:space="0" w:color="auto"/>
        <w:left w:val="none" w:sz="0" w:space="0" w:color="auto"/>
        <w:bottom w:val="none" w:sz="0" w:space="0" w:color="auto"/>
        <w:right w:val="none" w:sz="0" w:space="0" w:color="auto"/>
      </w:divBdr>
      <w:divsChild>
        <w:div w:id="725379568">
          <w:marLeft w:val="0"/>
          <w:marRight w:val="0"/>
          <w:marTop w:val="0"/>
          <w:marBottom w:val="0"/>
          <w:divBdr>
            <w:top w:val="none" w:sz="0" w:space="0" w:color="auto"/>
            <w:left w:val="single" w:sz="6" w:space="0" w:color="999999"/>
            <w:bottom w:val="none" w:sz="0" w:space="0" w:color="auto"/>
            <w:right w:val="single" w:sz="6" w:space="0" w:color="999999"/>
          </w:divBdr>
          <w:divsChild>
            <w:div w:id="190922757">
              <w:marLeft w:val="0"/>
              <w:marRight w:val="0"/>
              <w:marTop w:val="0"/>
              <w:marBottom w:val="0"/>
              <w:divBdr>
                <w:top w:val="none" w:sz="0" w:space="0" w:color="auto"/>
                <w:left w:val="none" w:sz="0" w:space="0" w:color="auto"/>
                <w:bottom w:val="none" w:sz="0" w:space="0" w:color="auto"/>
                <w:right w:val="none" w:sz="0" w:space="0" w:color="auto"/>
              </w:divBdr>
              <w:divsChild>
                <w:div w:id="715202522">
                  <w:marLeft w:val="0"/>
                  <w:marRight w:val="0"/>
                  <w:marTop w:val="0"/>
                  <w:marBottom w:val="0"/>
                  <w:divBdr>
                    <w:top w:val="none" w:sz="0" w:space="0" w:color="auto"/>
                    <w:left w:val="none" w:sz="0" w:space="0" w:color="auto"/>
                    <w:bottom w:val="none" w:sz="0" w:space="0" w:color="auto"/>
                    <w:right w:val="none" w:sz="0" w:space="0" w:color="auto"/>
                  </w:divBdr>
                  <w:divsChild>
                    <w:div w:id="13910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95299">
      <w:bodyDiv w:val="1"/>
      <w:marLeft w:val="0"/>
      <w:marRight w:val="0"/>
      <w:marTop w:val="0"/>
      <w:marBottom w:val="0"/>
      <w:divBdr>
        <w:top w:val="none" w:sz="0" w:space="0" w:color="auto"/>
        <w:left w:val="none" w:sz="0" w:space="0" w:color="auto"/>
        <w:bottom w:val="none" w:sz="0" w:space="0" w:color="auto"/>
        <w:right w:val="none" w:sz="0" w:space="0" w:color="auto"/>
      </w:divBdr>
      <w:divsChild>
        <w:div w:id="248975834">
          <w:marLeft w:val="0"/>
          <w:marRight w:val="0"/>
          <w:marTop w:val="0"/>
          <w:marBottom w:val="0"/>
          <w:divBdr>
            <w:top w:val="none" w:sz="0" w:space="0" w:color="auto"/>
            <w:left w:val="single" w:sz="6" w:space="0" w:color="999999"/>
            <w:bottom w:val="none" w:sz="0" w:space="0" w:color="auto"/>
            <w:right w:val="single" w:sz="6" w:space="0" w:color="999999"/>
          </w:divBdr>
          <w:divsChild>
            <w:div w:id="387344795">
              <w:marLeft w:val="0"/>
              <w:marRight w:val="0"/>
              <w:marTop w:val="0"/>
              <w:marBottom w:val="0"/>
              <w:divBdr>
                <w:top w:val="none" w:sz="0" w:space="0" w:color="auto"/>
                <w:left w:val="none" w:sz="0" w:space="0" w:color="auto"/>
                <w:bottom w:val="none" w:sz="0" w:space="0" w:color="auto"/>
                <w:right w:val="none" w:sz="0" w:space="0" w:color="auto"/>
              </w:divBdr>
              <w:divsChild>
                <w:div w:id="529031756">
                  <w:marLeft w:val="0"/>
                  <w:marRight w:val="0"/>
                  <w:marTop w:val="0"/>
                  <w:marBottom w:val="0"/>
                  <w:divBdr>
                    <w:top w:val="none" w:sz="0" w:space="0" w:color="auto"/>
                    <w:left w:val="none" w:sz="0" w:space="0" w:color="auto"/>
                    <w:bottom w:val="none" w:sz="0" w:space="0" w:color="auto"/>
                    <w:right w:val="none" w:sz="0" w:space="0" w:color="auto"/>
                  </w:divBdr>
                  <w:divsChild>
                    <w:div w:id="21060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2575">
      <w:bodyDiv w:val="1"/>
      <w:marLeft w:val="0"/>
      <w:marRight w:val="0"/>
      <w:marTop w:val="0"/>
      <w:marBottom w:val="0"/>
      <w:divBdr>
        <w:top w:val="none" w:sz="0" w:space="0" w:color="auto"/>
        <w:left w:val="none" w:sz="0" w:space="0" w:color="auto"/>
        <w:bottom w:val="none" w:sz="0" w:space="0" w:color="auto"/>
        <w:right w:val="none" w:sz="0" w:space="0" w:color="auto"/>
      </w:divBdr>
      <w:divsChild>
        <w:div w:id="1114204761">
          <w:marLeft w:val="0"/>
          <w:marRight w:val="0"/>
          <w:marTop w:val="0"/>
          <w:marBottom w:val="0"/>
          <w:divBdr>
            <w:top w:val="none" w:sz="0" w:space="0" w:color="auto"/>
            <w:left w:val="single" w:sz="6" w:space="0" w:color="999999"/>
            <w:bottom w:val="none" w:sz="0" w:space="0" w:color="auto"/>
            <w:right w:val="single" w:sz="6" w:space="0" w:color="999999"/>
          </w:divBdr>
          <w:divsChild>
            <w:div w:id="2029288025">
              <w:marLeft w:val="0"/>
              <w:marRight w:val="0"/>
              <w:marTop w:val="0"/>
              <w:marBottom w:val="0"/>
              <w:divBdr>
                <w:top w:val="none" w:sz="0" w:space="0" w:color="auto"/>
                <w:left w:val="none" w:sz="0" w:space="0" w:color="auto"/>
                <w:bottom w:val="none" w:sz="0" w:space="0" w:color="auto"/>
                <w:right w:val="none" w:sz="0" w:space="0" w:color="auto"/>
              </w:divBdr>
              <w:divsChild>
                <w:div w:id="481583044">
                  <w:marLeft w:val="0"/>
                  <w:marRight w:val="0"/>
                  <w:marTop w:val="0"/>
                  <w:marBottom w:val="0"/>
                  <w:divBdr>
                    <w:top w:val="none" w:sz="0" w:space="0" w:color="auto"/>
                    <w:left w:val="none" w:sz="0" w:space="0" w:color="auto"/>
                    <w:bottom w:val="none" w:sz="0" w:space="0" w:color="auto"/>
                    <w:right w:val="none" w:sz="0" w:space="0" w:color="auto"/>
                  </w:divBdr>
                  <w:divsChild>
                    <w:div w:id="1827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cott.heald@nhs.net" TargetMode="External"/><Relationship Id="rId13" Type="http://schemas.openxmlformats.org/officeDocument/2006/relationships/hyperlink" Target="http://www.ndc.scot.nhs.uk/Dictionary-A-Z/"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dc.scot.nhs.uk/Dictionary-A-Z/"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dc.scot.nhs.uk/National-Datasets/index.as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isdscotland.org/Products-and-Services/Data-Definitions-and-References/" TargetMode="External"/><Relationship Id="rId14" Type="http://schemas.openxmlformats.org/officeDocument/2006/relationships/hyperlink" Target="http://www.isdscotland.org/Products-and-Services/Data-Definitions-and-Reference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nss.isdDefinitions@nhs.ne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C38963-EC2E-4785-A57A-D83545DB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scotth03</dc:creator>
  <cp:lastModifiedBy>Joseph McKee</cp:lastModifiedBy>
  <cp:revision>2</cp:revision>
  <dcterms:created xsi:type="dcterms:W3CDTF">2018-06-13T10:36:00Z</dcterms:created>
  <dcterms:modified xsi:type="dcterms:W3CDTF">2018-06-13T10:36:00Z</dcterms:modified>
</cp:coreProperties>
</file>