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8CE50" w14:textId="77777777" w:rsidR="007F3FC5" w:rsidRPr="007F3FC5" w:rsidRDefault="007F3FC5" w:rsidP="007F3FC5">
      <w:pPr>
        <w:shd w:val="clear" w:color="auto" w:fill="FDFDFD"/>
        <w:spacing w:before="480" w:after="240" w:line="600" w:lineRule="atLeast"/>
        <w:ind w:left="432" w:right="432"/>
        <w:outlineLvl w:val="0"/>
        <w:rPr>
          <w:rFonts w:ascii="Helvetica" w:eastAsia="Times New Roman" w:hAnsi="Helvetica" w:cs="Helvetica"/>
          <w:b/>
          <w:bCs/>
          <w:color w:val="6D6B6B"/>
          <w:kern w:val="36"/>
          <w:sz w:val="60"/>
          <w:szCs w:val="60"/>
          <w:lang w:val="fr-FR"/>
        </w:rPr>
      </w:pPr>
      <w:r w:rsidRPr="007F3FC5">
        <w:rPr>
          <w:rFonts w:ascii="Helvetica" w:eastAsia="Times New Roman" w:hAnsi="Helvetica" w:cs="Helvetica"/>
          <w:b/>
          <w:bCs/>
          <w:color w:val="6D6B6B"/>
          <w:kern w:val="36"/>
          <w:sz w:val="60"/>
          <w:szCs w:val="60"/>
          <w:lang w:val="fr-FR"/>
        </w:rPr>
        <w:t>Les verbes du deuxième groupe</w:t>
      </w:r>
    </w:p>
    <w:p w14:paraId="216FA03E" w14:textId="77777777" w:rsidR="007F3FC5" w:rsidRPr="007F3FC5" w:rsidRDefault="007F3FC5" w:rsidP="007F3FC5">
      <w:pPr>
        <w:shd w:val="clear" w:color="auto" w:fill="FDFDFD"/>
        <w:spacing w:line="240" w:lineRule="auto"/>
        <w:rPr>
          <w:rFonts w:ascii="Helvetica" w:eastAsia="Times New Roman" w:hAnsi="Helvetica" w:cs="Helvetica"/>
          <w:color w:val="827F7F"/>
          <w:sz w:val="24"/>
          <w:szCs w:val="24"/>
          <w:lang w:val="fr-FR"/>
        </w:rPr>
      </w:pPr>
      <w:r w:rsidRPr="007F3FC5">
        <w:rPr>
          <w:rFonts w:ascii="Helvetica" w:eastAsia="Times New Roman" w:hAnsi="Helvetica" w:cs="Helvetica"/>
          <w:color w:val="827F7F"/>
          <w:sz w:val="24"/>
          <w:szCs w:val="24"/>
          <w:lang w:val="fr-FR"/>
        </w:rPr>
        <w:t>Vous êtes ici :  &gt; </w:t>
      </w:r>
      <w:hyperlink r:id="rId4" w:history="1">
        <w:r w:rsidRPr="007F3FC5">
          <w:rPr>
            <w:rFonts w:ascii="Helvetica" w:eastAsia="Times New Roman" w:hAnsi="Helvetica" w:cs="Helvetica"/>
            <w:color w:val="237B9A"/>
            <w:sz w:val="24"/>
            <w:szCs w:val="24"/>
            <w:lang w:val="fr-FR"/>
          </w:rPr>
          <w:t>Cours</w:t>
        </w:r>
      </w:hyperlink>
      <w:r w:rsidRPr="007F3FC5">
        <w:rPr>
          <w:rFonts w:ascii="Helvetica" w:eastAsia="Times New Roman" w:hAnsi="Helvetica" w:cs="Helvetica"/>
          <w:color w:val="827F7F"/>
          <w:sz w:val="24"/>
          <w:szCs w:val="24"/>
          <w:lang w:val="fr-FR"/>
        </w:rPr>
        <w:t> &gt; </w:t>
      </w:r>
      <w:hyperlink r:id="rId5" w:history="1">
        <w:r w:rsidRPr="007F3FC5">
          <w:rPr>
            <w:rFonts w:ascii="Helvetica" w:eastAsia="Times New Roman" w:hAnsi="Helvetica" w:cs="Helvetica"/>
            <w:color w:val="237B9A"/>
            <w:sz w:val="24"/>
            <w:szCs w:val="24"/>
            <w:lang w:val="fr-FR"/>
          </w:rPr>
          <w:t>Conjugaison</w:t>
        </w:r>
      </w:hyperlink>
      <w:r w:rsidRPr="007F3FC5">
        <w:rPr>
          <w:rFonts w:ascii="Helvetica" w:eastAsia="Times New Roman" w:hAnsi="Helvetica" w:cs="Helvetica"/>
          <w:color w:val="827F7F"/>
          <w:sz w:val="24"/>
          <w:szCs w:val="24"/>
          <w:lang w:val="fr-FR"/>
        </w:rPr>
        <w:t> &gt; Les verbes du deuxième groupe</w:t>
      </w:r>
    </w:p>
    <w:p w14:paraId="52632172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Tous les verbes du deuxième groupe se terminent en 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-ir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:</w:t>
      </w:r>
    </w:p>
    <w:p w14:paraId="4006F1B9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finir, grandir, nourrir, ralentir, bondir, atterrir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, etc.</w:t>
      </w:r>
    </w:p>
    <w:p w14:paraId="657421D8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Mais tous les verbes en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-ir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ne sont pas des verbes du deuxième groupe. Les verbes suivants appartiennent au troisième groupe :</w:t>
      </w:r>
    </w:p>
    <w:p w14:paraId="33433AEE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mourir, partir, mentir, sortir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, etc.</w:t>
      </w:r>
    </w:p>
    <w:p w14:paraId="35387FAC" w14:textId="77777777" w:rsidR="007F3FC5" w:rsidRPr="007F3FC5" w:rsidRDefault="007F3FC5" w:rsidP="007F3FC5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</w:pPr>
      <w:r w:rsidRPr="007F3FC5"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  <w:t>1. Comment faire la différence ?</w:t>
      </w:r>
    </w:p>
    <w:p w14:paraId="5386C0B3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On peut facilement distinguer ces deux groupes en conjuguant les verbes en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-ir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à la première personne du pluriel du présent de l’indicatif :</w:t>
      </w:r>
    </w:p>
    <w:p w14:paraId="739B7D59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finissons, nous grandissons...</w:t>
      </w:r>
    </w:p>
    <w:p w14:paraId="2F24B5DF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Dès lors qu’ils se terminent en 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-issons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, les verbes appartiennent au deuxième groupe (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haïssons, nous trahissons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...). En revanche, on dit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mourons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(et non *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mourissons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),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partons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(et non *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partissons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).</w:t>
      </w:r>
    </w:p>
    <w:p w14:paraId="2E61ED47" w14:textId="77777777" w:rsidR="007F3FC5" w:rsidRPr="007F3FC5" w:rsidRDefault="007F3FC5" w:rsidP="007F3FC5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</w:pPr>
      <w:r w:rsidRPr="007F3FC5"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  <w:t>2. Le participe passé des verbes du deuxième groupe</w:t>
      </w:r>
    </w:p>
    <w:p w14:paraId="7DD87848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Tous les verbes du deuxième groupe ont un participe passé en 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. Quel que soit le temps, ce participe sera en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( et non en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is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ou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it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) :</w:t>
      </w:r>
    </w:p>
    <w:p w14:paraId="748B6AE6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J’ai fin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(passé composé)</w:t>
      </w:r>
    </w:p>
    <w:p w14:paraId="2390E66D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avions atterr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(plus-que-parfait)</w:t>
      </w:r>
    </w:p>
    <w:p w14:paraId="08E4BA98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Ils auront sub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(futur antérieur)</w:t>
      </w:r>
    </w:p>
    <w:p w14:paraId="49D70846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Elle eut roug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(passé antérieur)</w:t>
      </w:r>
    </w:p>
    <w:p w14:paraId="596541F7" w14:textId="77777777" w:rsidR="007F3FC5" w:rsidRPr="007F3FC5" w:rsidRDefault="007F3FC5" w:rsidP="007F3FC5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</w:pPr>
      <w:r w:rsidRPr="007F3FC5"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  <w:t>3. Une exception</w:t>
      </w:r>
    </w:p>
    <w:p w14:paraId="1CA08716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Bénir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ne fait pas exception à la règle. On dit bien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nous bénissons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ou encore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tu as béni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.</w:t>
      </w:r>
    </w:p>
    <w:p w14:paraId="556B0F1D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Cependant l’adjectif qualificatif béni</w:t>
      </w:r>
      <w:r w:rsidRPr="007F3FC5">
        <w:rPr>
          <w:rFonts w:ascii="Helvetica" w:eastAsia="Times New Roman" w:hAnsi="Helvetica" w:cs="Helvetica"/>
          <w:color w:val="FF0C18"/>
          <w:sz w:val="26"/>
          <w:szCs w:val="26"/>
          <w:lang w:val="fr-FR"/>
        </w:rPr>
        <w:t>t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prend un </w:t>
      </w:r>
      <w:r w:rsidRPr="007F3FC5">
        <w:rPr>
          <w:rFonts w:ascii="Helvetica" w:eastAsia="Times New Roman" w:hAnsi="Helvetica" w:cs="Helvetica"/>
          <w:color w:val="FF0C18"/>
          <w:sz w:val="26"/>
          <w:szCs w:val="26"/>
          <w:lang w:val="fr-FR"/>
        </w:rPr>
        <w:t>t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. Il signifie « Recevoir la bénédiction d’un prêtre lors d’une cérémonie ». On dit donc du pain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béni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t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, de l’eau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béni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te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.</w:t>
      </w:r>
    </w:p>
    <w:p w14:paraId="072FA740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On écrira alors : « Le prêtre a bén</w:t>
      </w:r>
      <w:r w:rsidRPr="007F3FC5">
        <w:rPr>
          <w:rFonts w:ascii="Helvetica" w:eastAsia="Times New Roman" w:hAnsi="Helvetica" w:cs="Helvetica"/>
          <w:color w:val="FF0C18"/>
          <w:sz w:val="26"/>
          <w:szCs w:val="26"/>
          <w:lang w:val="fr-FR"/>
        </w:rPr>
        <w:t>i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le pain, lequel est désormais bén</w:t>
      </w:r>
      <w:r w:rsidRPr="007F3FC5">
        <w:rPr>
          <w:rFonts w:ascii="Helvetica" w:eastAsia="Times New Roman" w:hAnsi="Helvetica" w:cs="Helvetica"/>
          <w:color w:val="FF0C18"/>
          <w:sz w:val="26"/>
          <w:szCs w:val="26"/>
          <w:lang w:val="fr-FR"/>
        </w:rPr>
        <w:t>it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».</w:t>
      </w:r>
    </w:p>
    <w:p w14:paraId="4A300250" w14:textId="77777777" w:rsidR="007F3FC5" w:rsidRPr="007F3FC5" w:rsidRDefault="007F3FC5" w:rsidP="007F3FC5">
      <w:pPr>
        <w:shd w:val="clear" w:color="auto" w:fill="FDFDFD"/>
        <w:spacing w:after="0" w:line="240" w:lineRule="auto"/>
        <w:jc w:val="both"/>
        <w:rPr>
          <w:rFonts w:ascii="Helvetica" w:eastAsia="Times New Roman" w:hAnsi="Helvetica" w:cs="Helvetica"/>
          <w:color w:val="4C4B4B"/>
          <w:sz w:val="26"/>
          <w:szCs w:val="26"/>
          <w:lang w:val="fr-FR"/>
        </w:rPr>
      </w:pP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De toute façon, avec le verbe 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avoir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, </w:t>
      </w:r>
      <w:r w:rsidRPr="007F3FC5">
        <w:rPr>
          <w:rFonts w:ascii="Helvetica" w:eastAsia="Times New Roman" w:hAnsi="Helvetica" w:cs="Helvetica"/>
          <w:i/>
          <w:iCs/>
          <w:color w:val="4C4B4B"/>
          <w:sz w:val="26"/>
          <w:szCs w:val="26"/>
          <w:lang w:val="fr-FR"/>
        </w:rPr>
        <w:t>bénir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 ne prend </w:t>
      </w:r>
      <w:r w:rsidRPr="007F3FC5">
        <w:rPr>
          <w:rFonts w:ascii="Helvetica" w:eastAsia="Times New Roman" w:hAnsi="Helvetica" w:cs="Helvetica"/>
          <w:color w:val="FF0C18"/>
          <w:sz w:val="26"/>
          <w:szCs w:val="26"/>
          <w:lang w:val="fr-FR"/>
        </w:rPr>
        <w:t>jamais de </w:t>
      </w:r>
      <w:r w:rsidRPr="007F3FC5">
        <w:rPr>
          <w:rFonts w:ascii="Helvetica" w:eastAsia="Times New Roman" w:hAnsi="Helvetica" w:cs="Helvetica"/>
          <w:i/>
          <w:iCs/>
          <w:color w:val="FF0C18"/>
          <w:sz w:val="26"/>
          <w:szCs w:val="26"/>
          <w:lang w:val="fr-FR"/>
        </w:rPr>
        <w:t>t</w:t>
      </w:r>
      <w:r w:rsidRPr="007F3FC5">
        <w:rPr>
          <w:rFonts w:ascii="Helvetica" w:eastAsia="Times New Roman" w:hAnsi="Helvetica" w:cs="Helvetica"/>
          <w:color w:val="4C4B4B"/>
          <w:sz w:val="26"/>
          <w:szCs w:val="26"/>
          <w:lang w:val="fr-FR"/>
        </w:rPr>
        <w:t>.</w:t>
      </w:r>
    </w:p>
    <w:p w14:paraId="2ED59C84" w14:textId="77777777" w:rsidR="007F3FC5" w:rsidRPr="007F3FC5" w:rsidRDefault="007F3FC5" w:rsidP="007F3FC5">
      <w:pPr>
        <w:shd w:val="clear" w:color="auto" w:fill="FDFDFD"/>
        <w:spacing w:before="672" w:after="192" w:line="432" w:lineRule="atLeast"/>
        <w:ind w:left="576" w:right="456"/>
        <w:outlineLvl w:val="1"/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</w:pPr>
      <w:r w:rsidRPr="007F3FC5">
        <w:rPr>
          <w:rFonts w:ascii="Helvetica" w:eastAsia="Times New Roman" w:hAnsi="Helvetica" w:cs="Helvetica"/>
          <w:b/>
          <w:bCs/>
          <w:color w:val="797878"/>
          <w:sz w:val="43"/>
          <w:szCs w:val="43"/>
          <w:lang w:val="fr-FR"/>
        </w:rPr>
        <w:t>Les principaux verbes du 2e groupe</w:t>
      </w:r>
    </w:p>
    <w:tbl>
      <w:tblPr>
        <w:tblW w:w="1056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3320"/>
        <w:gridCol w:w="3439"/>
      </w:tblGrid>
      <w:tr w:rsidR="007F3FC5" w:rsidRPr="007F3FC5" w14:paraId="05BEF27C" w14:textId="77777777" w:rsidTr="007F3FC5">
        <w:tc>
          <w:tcPr>
            <w:tcW w:w="0" w:type="auto"/>
            <w:shd w:val="clear" w:color="auto" w:fill="FDFDFD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3E24B8B" w14:textId="77777777" w:rsidR="007F3FC5" w:rsidRPr="007F3FC5" w:rsidRDefault="007F3FC5" w:rsidP="007F3FC5">
            <w:pPr>
              <w:spacing w:after="0" w:line="360" w:lineRule="atLeast"/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</w:pP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t>Accomplir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adoucir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affaiblir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lastRenderedPageBreak/>
              <w:t>agir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alourdir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amincir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anéantir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aplatir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arrondir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appauvrir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applaudir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approfondir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arrondir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attendrir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atterrir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avertir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bâtir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blanchir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bondir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démolir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désobéir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divertir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durcir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éblouir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éclaircir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élargir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engloutir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enrichir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ensevelir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envahir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épaissir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établir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évanouir</w:t>
            </w:r>
          </w:p>
        </w:tc>
        <w:tc>
          <w:tcPr>
            <w:tcW w:w="0" w:type="auto"/>
            <w:shd w:val="clear" w:color="auto" w:fill="FDFDFD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B78FA4D" w14:textId="77777777" w:rsidR="007F3FC5" w:rsidRPr="007F3FC5" w:rsidRDefault="007F3FC5" w:rsidP="007F3FC5">
            <w:pPr>
              <w:spacing w:after="0" w:line="360" w:lineRule="atLeast"/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</w:pP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lastRenderedPageBreak/>
              <w:t>faiblir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finir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flétrir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lastRenderedPageBreak/>
              <w:t>fleurir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fournir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fraîchir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franchir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garantir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garnir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gémir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grandir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gravir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grossir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guérir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haïr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intervertir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investir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jaillir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jaunir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jouir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maigrir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meurtrir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mincir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moisir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mugir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munir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noircir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nourrir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obéir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pâlir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périr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pétrir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pourrir</w:t>
            </w:r>
          </w:p>
        </w:tc>
        <w:tc>
          <w:tcPr>
            <w:tcW w:w="0" w:type="auto"/>
            <w:shd w:val="clear" w:color="auto" w:fill="FDFDFD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B27178A" w14:textId="77777777" w:rsidR="007F3FC5" w:rsidRPr="007F3FC5" w:rsidRDefault="007F3FC5" w:rsidP="007F3FC5">
            <w:pPr>
              <w:spacing w:after="0" w:line="360" w:lineRule="atLeast"/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</w:pP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lastRenderedPageBreak/>
              <w:t>punir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raccourcir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rafraîchir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lastRenderedPageBreak/>
              <w:t>rajeunir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ralentir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réagir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réfléchir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refroidir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rejaillir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remplir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répartir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ressaisir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rétablir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rétrécir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réunir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réussir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rôtir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rougir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rugir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saisir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salir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subir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surgir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ternir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tiédir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trahir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unir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vieillir</w:t>
            </w:r>
            <w:r w:rsidRPr="007F3FC5">
              <w:rPr>
                <w:rFonts w:ascii="Helvetica" w:eastAsia="Times New Roman" w:hAnsi="Helvetica" w:cs="Helvetica"/>
                <w:color w:val="4C4B4B"/>
                <w:sz w:val="24"/>
                <w:szCs w:val="24"/>
                <w:lang w:val="fr-FR"/>
              </w:rPr>
              <w:br/>
              <w:t>vomir</w:t>
            </w:r>
          </w:p>
        </w:tc>
      </w:tr>
    </w:tbl>
    <w:p w14:paraId="1A3FEF4A" w14:textId="77777777" w:rsidR="00F53FA2" w:rsidRPr="007F3FC5" w:rsidRDefault="00F53FA2">
      <w:pPr>
        <w:rPr>
          <w:lang w:val="fr-FR"/>
        </w:rPr>
      </w:pPr>
    </w:p>
    <w:sectPr w:rsidR="00F53FA2" w:rsidRPr="007F3FC5" w:rsidSect="007F3FC5">
      <w:pgSz w:w="11907" w:h="16840" w:code="9"/>
      <w:pgMar w:top="426" w:right="567" w:bottom="426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3"/>
    <w:rsid w:val="007F3FC5"/>
    <w:rsid w:val="00C22EE2"/>
    <w:rsid w:val="00CB1AF3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B0975-C6A6-4DDF-A353-DAF57B36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F3FC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7F3F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FC5"/>
    <w:rPr>
      <w:rFonts w:eastAsia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7F3FC5"/>
    <w:rPr>
      <w:rFonts w:eastAsia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7F3F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talicr">
    <w:name w:val="italicr"/>
    <w:basedOn w:val="Policepardfaut"/>
    <w:rsid w:val="007F3FC5"/>
  </w:style>
  <w:style w:type="character" w:customStyle="1" w:styleId="intro">
    <w:name w:val="intro"/>
    <w:basedOn w:val="Policepardfaut"/>
    <w:rsid w:val="007F3FC5"/>
  </w:style>
  <w:style w:type="paragraph" w:customStyle="1" w:styleId="p-haut">
    <w:name w:val="p-haut"/>
    <w:basedOn w:val="Normal"/>
    <w:rsid w:val="007F3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talic">
    <w:name w:val="italic"/>
    <w:basedOn w:val="Policepardfaut"/>
    <w:rsid w:val="007F3FC5"/>
  </w:style>
  <w:style w:type="character" w:customStyle="1" w:styleId="rouge">
    <w:name w:val="rouge"/>
    <w:basedOn w:val="Policepardfaut"/>
    <w:rsid w:val="007F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187">
          <w:marLeft w:val="0"/>
          <w:marRight w:val="0"/>
          <w:marTop w:val="1440"/>
          <w:marBottom w:val="960"/>
          <w:divBdr>
            <w:top w:val="single" w:sz="6" w:space="6" w:color="DDDDDD"/>
            <w:left w:val="single" w:sz="6" w:space="12" w:color="DDDDDD"/>
            <w:bottom w:val="single" w:sz="6" w:space="6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lentirtravaux.com/lettres/cours/conjugaison/index.php" TargetMode="External"/><Relationship Id="rId4" Type="http://schemas.openxmlformats.org/officeDocument/2006/relationships/hyperlink" Target="https://www.ralentirtravaux.com/lettres/cour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2</cp:revision>
  <dcterms:created xsi:type="dcterms:W3CDTF">2021-01-26T14:57:00Z</dcterms:created>
  <dcterms:modified xsi:type="dcterms:W3CDTF">2021-01-26T14:57:00Z</dcterms:modified>
</cp:coreProperties>
</file>