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2F4C8" w14:textId="77777777" w:rsidR="008A246F" w:rsidRPr="008A246F" w:rsidRDefault="008A246F" w:rsidP="008A246F">
      <w:pPr>
        <w:shd w:val="clear" w:color="auto" w:fill="FDFDFD"/>
        <w:spacing w:before="480" w:after="240" w:line="600" w:lineRule="atLeast"/>
        <w:ind w:left="432" w:right="432"/>
        <w:outlineLvl w:val="0"/>
        <w:rPr>
          <w:rFonts w:ascii="Helvetica" w:eastAsia="Times New Roman" w:hAnsi="Helvetica" w:cs="Times New Roman"/>
          <w:b/>
          <w:bCs/>
          <w:color w:val="6D6B6B"/>
          <w:kern w:val="36"/>
          <w:sz w:val="60"/>
          <w:szCs w:val="60"/>
          <w:lang w:val="fr-FR"/>
        </w:rPr>
      </w:pPr>
      <w:r w:rsidRPr="008A246F">
        <w:rPr>
          <w:rFonts w:ascii="Helvetica" w:eastAsia="Times New Roman" w:hAnsi="Helvetica" w:cs="Times New Roman"/>
          <w:b/>
          <w:bCs/>
          <w:color w:val="6D6B6B"/>
          <w:kern w:val="36"/>
          <w:sz w:val="60"/>
          <w:szCs w:val="60"/>
          <w:lang w:val="fr-FR"/>
        </w:rPr>
        <w:t>Les verbes du deuxième groupe</w:t>
      </w:r>
    </w:p>
    <w:p w14:paraId="44901328" w14:textId="77777777" w:rsidR="008A246F" w:rsidRPr="008A246F" w:rsidRDefault="008A246F" w:rsidP="008A246F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</w:pP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Tous les verbes du deuxième groupe se terminent en </w:t>
      </w:r>
      <w:r w:rsidRPr="008A246F">
        <w:rPr>
          <w:rFonts w:ascii="Helvetica" w:eastAsia="Times New Roman" w:hAnsi="Helvetica" w:cs="Times New Roman"/>
          <w:i/>
          <w:iCs/>
          <w:color w:val="FF0C18"/>
          <w:sz w:val="26"/>
          <w:szCs w:val="26"/>
          <w:lang w:val="fr-FR"/>
        </w:rPr>
        <w:t>-ir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 :</w:t>
      </w:r>
    </w:p>
    <w:p w14:paraId="663BB268" w14:textId="77777777" w:rsidR="008A246F" w:rsidRPr="008A246F" w:rsidRDefault="008A246F" w:rsidP="008A246F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</w:pP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finir, grandir, nourrir, ralentir, bondir, atterrir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, etc.</w:t>
      </w:r>
    </w:p>
    <w:p w14:paraId="1B38278F" w14:textId="77777777" w:rsidR="008A246F" w:rsidRPr="008A246F" w:rsidRDefault="008A246F" w:rsidP="008A246F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</w:pP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Mais tous les verbes en </w:t>
      </w: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-ir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 ne sont pas des verbes du deuxième groupe. Les verbes suivants appartiennent au troisième groupe :</w:t>
      </w:r>
    </w:p>
    <w:p w14:paraId="54526261" w14:textId="77777777" w:rsidR="008A246F" w:rsidRPr="008A246F" w:rsidRDefault="008A246F" w:rsidP="008A246F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</w:pP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mourir, partir, mentir, sortir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, etc.</w:t>
      </w:r>
    </w:p>
    <w:p w14:paraId="7794FD60" w14:textId="77777777" w:rsidR="008A246F" w:rsidRPr="008A246F" w:rsidRDefault="008A246F" w:rsidP="008A246F">
      <w:pPr>
        <w:shd w:val="clear" w:color="auto" w:fill="FDFDFD"/>
        <w:spacing w:before="672" w:after="192" w:line="432" w:lineRule="atLeast"/>
        <w:ind w:left="576" w:right="456"/>
        <w:outlineLvl w:val="1"/>
        <w:rPr>
          <w:rFonts w:ascii="Helvetica" w:eastAsia="Times New Roman" w:hAnsi="Helvetica" w:cs="Times New Roman"/>
          <w:b/>
          <w:bCs/>
          <w:color w:val="797878"/>
          <w:sz w:val="43"/>
          <w:szCs w:val="43"/>
          <w:lang w:val="fr-FR"/>
        </w:rPr>
      </w:pPr>
      <w:r w:rsidRPr="008A246F">
        <w:rPr>
          <w:rFonts w:ascii="Helvetica" w:eastAsia="Times New Roman" w:hAnsi="Helvetica" w:cs="Times New Roman"/>
          <w:b/>
          <w:bCs/>
          <w:color w:val="797878"/>
          <w:sz w:val="43"/>
          <w:szCs w:val="43"/>
          <w:lang w:val="fr-FR"/>
        </w:rPr>
        <w:t>1. Comment faire la différence ?</w:t>
      </w:r>
    </w:p>
    <w:p w14:paraId="29C9396C" w14:textId="77777777" w:rsidR="008A246F" w:rsidRPr="008A246F" w:rsidRDefault="008A246F" w:rsidP="008A246F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</w:pP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On peut facilement distinguer ces deux groupes en conjuguant les verbes en </w:t>
      </w: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-ir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 à la première personne du pluriel du présent de l’indicatif :</w:t>
      </w:r>
    </w:p>
    <w:p w14:paraId="27ACAD4B" w14:textId="77777777" w:rsidR="008A246F" w:rsidRPr="008A246F" w:rsidRDefault="008A246F" w:rsidP="008A246F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</w:pP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Nous finissons, nous grandissons...</w:t>
      </w:r>
    </w:p>
    <w:p w14:paraId="2680CD8C" w14:textId="77777777" w:rsidR="008A246F" w:rsidRPr="008A246F" w:rsidRDefault="008A246F" w:rsidP="008A246F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</w:pP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Dès lors qu’ils se terminent en </w:t>
      </w:r>
      <w:r w:rsidRPr="008A246F">
        <w:rPr>
          <w:rFonts w:ascii="Helvetica" w:eastAsia="Times New Roman" w:hAnsi="Helvetica" w:cs="Times New Roman"/>
          <w:i/>
          <w:iCs/>
          <w:color w:val="FF0C18"/>
          <w:sz w:val="26"/>
          <w:szCs w:val="26"/>
          <w:lang w:val="fr-FR"/>
        </w:rPr>
        <w:t>-issons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, les verbes appartiennent au deuxième groupe (</w:t>
      </w: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nous haïssons, nous trahissons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...). En revanche, on dit </w:t>
      </w: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nous mourons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 (et non * </w:t>
      </w: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nous mourissons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), </w:t>
      </w: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nous partons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 (et non * </w:t>
      </w: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nous partissons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).</w:t>
      </w:r>
    </w:p>
    <w:p w14:paraId="365A2949" w14:textId="77777777" w:rsidR="008A246F" w:rsidRPr="008A246F" w:rsidRDefault="008A246F" w:rsidP="008A246F">
      <w:pPr>
        <w:shd w:val="clear" w:color="auto" w:fill="FDFDFD"/>
        <w:spacing w:before="672" w:after="192" w:line="432" w:lineRule="atLeast"/>
        <w:ind w:left="576" w:right="456"/>
        <w:outlineLvl w:val="1"/>
        <w:rPr>
          <w:rFonts w:ascii="Helvetica" w:eastAsia="Times New Roman" w:hAnsi="Helvetica" w:cs="Times New Roman"/>
          <w:b/>
          <w:bCs/>
          <w:color w:val="797878"/>
          <w:sz w:val="43"/>
          <w:szCs w:val="43"/>
          <w:lang w:val="fr-FR"/>
        </w:rPr>
      </w:pPr>
      <w:r w:rsidRPr="008A246F">
        <w:rPr>
          <w:rFonts w:ascii="Helvetica" w:eastAsia="Times New Roman" w:hAnsi="Helvetica" w:cs="Times New Roman"/>
          <w:b/>
          <w:bCs/>
          <w:color w:val="797878"/>
          <w:sz w:val="43"/>
          <w:szCs w:val="43"/>
          <w:lang w:val="fr-FR"/>
        </w:rPr>
        <w:t>2. Le participe passé des verbes du deuxième groupe</w:t>
      </w:r>
    </w:p>
    <w:p w14:paraId="3BEE9C8D" w14:textId="77777777" w:rsidR="008A246F" w:rsidRPr="008A246F" w:rsidRDefault="008A246F" w:rsidP="008A246F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</w:pP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Tous les verbes du deuxième groupe ont un participe passé en </w:t>
      </w:r>
      <w:r w:rsidRPr="008A246F">
        <w:rPr>
          <w:rFonts w:ascii="Helvetica" w:eastAsia="Times New Roman" w:hAnsi="Helvetica" w:cs="Times New Roman"/>
          <w:i/>
          <w:iCs/>
          <w:color w:val="FF0C18"/>
          <w:sz w:val="26"/>
          <w:szCs w:val="26"/>
          <w:lang w:val="fr-FR"/>
        </w:rPr>
        <w:t>i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. Quel que soit le temps, ce participe sera en </w:t>
      </w: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i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 ( et non en </w:t>
      </w: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is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 ou </w:t>
      </w: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it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 ) :</w:t>
      </w:r>
    </w:p>
    <w:p w14:paraId="4BF8AE8E" w14:textId="77777777" w:rsidR="008A246F" w:rsidRPr="008A246F" w:rsidRDefault="008A246F" w:rsidP="008A246F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</w:pP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J’ai fin</w:t>
      </w:r>
      <w:r w:rsidRPr="008A246F">
        <w:rPr>
          <w:rFonts w:ascii="Helvetica" w:eastAsia="Times New Roman" w:hAnsi="Helvetica" w:cs="Times New Roman"/>
          <w:i/>
          <w:iCs/>
          <w:color w:val="FF0C18"/>
          <w:sz w:val="26"/>
          <w:szCs w:val="26"/>
          <w:lang w:val="fr-FR"/>
        </w:rPr>
        <w:t>i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 (passé composé)</w:t>
      </w:r>
    </w:p>
    <w:p w14:paraId="1E4D558E" w14:textId="77777777" w:rsidR="008A246F" w:rsidRPr="008A246F" w:rsidRDefault="008A246F" w:rsidP="008A246F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</w:pP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Nous avions atterr</w:t>
      </w:r>
      <w:r w:rsidRPr="008A246F">
        <w:rPr>
          <w:rFonts w:ascii="Helvetica" w:eastAsia="Times New Roman" w:hAnsi="Helvetica" w:cs="Times New Roman"/>
          <w:i/>
          <w:iCs/>
          <w:color w:val="FF0C18"/>
          <w:sz w:val="26"/>
          <w:szCs w:val="26"/>
          <w:lang w:val="fr-FR"/>
        </w:rPr>
        <w:t>i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 (plus-que-parfait)</w:t>
      </w:r>
    </w:p>
    <w:p w14:paraId="17D7E581" w14:textId="77777777" w:rsidR="008A246F" w:rsidRPr="008A246F" w:rsidRDefault="008A246F" w:rsidP="008A246F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</w:pP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Ils auront sub</w:t>
      </w:r>
      <w:r w:rsidRPr="008A246F">
        <w:rPr>
          <w:rFonts w:ascii="Helvetica" w:eastAsia="Times New Roman" w:hAnsi="Helvetica" w:cs="Times New Roman"/>
          <w:i/>
          <w:iCs/>
          <w:color w:val="FF0C18"/>
          <w:sz w:val="26"/>
          <w:szCs w:val="26"/>
          <w:lang w:val="fr-FR"/>
        </w:rPr>
        <w:t>i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 (futur antérieur)</w:t>
      </w:r>
    </w:p>
    <w:p w14:paraId="508C5330" w14:textId="77777777" w:rsidR="008A246F" w:rsidRPr="008A246F" w:rsidRDefault="008A246F" w:rsidP="008A246F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</w:pP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Elle eut roug</w:t>
      </w:r>
      <w:r w:rsidRPr="008A246F">
        <w:rPr>
          <w:rFonts w:ascii="Helvetica" w:eastAsia="Times New Roman" w:hAnsi="Helvetica" w:cs="Times New Roman"/>
          <w:i/>
          <w:iCs/>
          <w:color w:val="FF0C18"/>
          <w:sz w:val="26"/>
          <w:szCs w:val="26"/>
          <w:lang w:val="fr-FR"/>
        </w:rPr>
        <w:t>i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 (passé antérieur)</w:t>
      </w:r>
    </w:p>
    <w:p w14:paraId="326043A9" w14:textId="77777777" w:rsidR="008A246F" w:rsidRPr="008A246F" w:rsidRDefault="008A246F" w:rsidP="008A246F">
      <w:pPr>
        <w:shd w:val="clear" w:color="auto" w:fill="FDFDFD"/>
        <w:spacing w:before="672" w:after="192" w:line="432" w:lineRule="atLeast"/>
        <w:ind w:left="576" w:right="456"/>
        <w:outlineLvl w:val="1"/>
        <w:rPr>
          <w:rFonts w:ascii="Helvetica" w:eastAsia="Times New Roman" w:hAnsi="Helvetica" w:cs="Times New Roman"/>
          <w:b/>
          <w:bCs/>
          <w:color w:val="797878"/>
          <w:sz w:val="43"/>
          <w:szCs w:val="43"/>
          <w:lang w:val="fr-FR"/>
        </w:rPr>
      </w:pPr>
      <w:r w:rsidRPr="008A246F">
        <w:rPr>
          <w:rFonts w:ascii="Helvetica" w:eastAsia="Times New Roman" w:hAnsi="Helvetica" w:cs="Times New Roman"/>
          <w:b/>
          <w:bCs/>
          <w:color w:val="797878"/>
          <w:sz w:val="43"/>
          <w:szCs w:val="43"/>
          <w:lang w:val="fr-FR"/>
        </w:rPr>
        <w:t>3. Une exception</w:t>
      </w:r>
    </w:p>
    <w:p w14:paraId="32108176" w14:textId="77777777" w:rsidR="008A246F" w:rsidRPr="008A246F" w:rsidRDefault="008A246F" w:rsidP="008A246F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</w:pP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Bénir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 ne fait pas exception à la règle. On dit bien </w:t>
      </w: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nous bénissons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 ou encore </w:t>
      </w: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tu as béni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.</w:t>
      </w:r>
    </w:p>
    <w:p w14:paraId="3E436841" w14:textId="77777777" w:rsidR="008A246F" w:rsidRPr="008A246F" w:rsidRDefault="008A246F" w:rsidP="008A246F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</w:pP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Cependant l’adjectif qualificatif béni</w:t>
      </w:r>
      <w:r w:rsidRPr="008A246F">
        <w:rPr>
          <w:rFonts w:ascii="Helvetica" w:eastAsia="Times New Roman" w:hAnsi="Helvetica" w:cs="Times New Roman"/>
          <w:color w:val="FF0C18"/>
          <w:sz w:val="26"/>
          <w:szCs w:val="26"/>
          <w:lang w:val="fr-FR"/>
        </w:rPr>
        <w:t>t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 prend un </w:t>
      </w:r>
      <w:r w:rsidRPr="008A246F">
        <w:rPr>
          <w:rFonts w:ascii="Helvetica" w:eastAsia="Times New Roman" w:hAnsi="Helvetica" w:cs="Times New Roman"/>
          <w:color w:val="FF0C18"/>
          <w:sz w:val="26"/>
          <w:szCs w:val="26"/>
          <w:lang w:val="fr-FR"/>
        </w:rPr>
        <w:t>t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. Il signifie « Recevoir la bénédiction d’un prêtre lors d’une cérémonie ». On dit donc du pain </w:t>
      </w: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béni</w:t>
      </w:r>
      <w:r w:rsidRPr="008A246F">
        <w:rPr>
          <w:rFonts w:ascii="Helvetica" w:eastAsia="Times New Roman" w:hAnsi="Helvetica" w:cs="Times New Roman"/>
          <w:i/>
          <w:iCs/>
          <w:color w:val="FF0C18"/>
          <w:sz w:val="26"/>
          <w:szCs w:val="26"/>
          <w:lang w:val="fr-FR"/>
        </w:rPr>
        <w:t>t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, de l’eau </w:t>
      </w: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béni</w:t>
      </w:r>
      <w:r w:rsidRPr="008A246F">
        <w:rPr>
          <w:rFonts w:ascii="Helvetica" w:eastAsia="Times New Roman" w:hAnsi="Helvetica" w:cs="Times New Roman"/>
          <w:i/>
          <w:iCs/>
          <w:color w:val="FF0C18"/>
          <w:sz w:val="26"/>
          <w:szCs w:val="26"/>
          <w:lang w:val="fr-FR"/>
        </w:rPr>
        <w:t>te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.</w:t>
      </w:r>
    </w:p>
    <w:p w14:paraId="3B035E07" w14:textId="77777777" w:rsidR="008A246F" w:rsidRPr="008A246F" w:rsidRDefault="008A246F" w:rsidP="008A246F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</w:pP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On écrira alors : « Le prêtre a bén</w:t>
      </w:r>
      <w:r w:rsidRPr="008A246F">
        <w:rPr>
          <w:rFonts w:ascii="Helvetica" w:eastAsia="Times New Roman" w:hAnsi="Helvetica" w:cs="Times New Roman"/>
          <w:color w:val="FF0C18"/>
          <w:sz w:val="26"/>
          <w:szCs w:val="26"/>
          <w:lang w:val="fr-FR"/>
        </w:rPr>
        <w:t>i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 le pain, lequel est désormais bén</w:t>
      </w:r>
      <w:r w:rsidRPr="008A246F">
        <w:rPr>
          <w:rFonts w:ascii="Helvetica" w:eastAsia="Times New Roman" w:hAnsi="Helvetica" w:cs="Times New Roman"/>
          <w:color w:val="FF0C18"/>
          <w:sz w:val="26"/>
          <w:szCs w:val="26"/>
          <w:lang w:val="fr-FR"/>
        </w:rPr>
        <w:t>it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 ».</w:t>
      </w:r>
    </w:p>
    <w:p w14:paraId="0B3B1946" w14:textId="77777777" w:rsidR="008A246F" w:rsidRPr="008A246F" w:rsidRDefault="008A246F" w:rsidP="008A246F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</w:pP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De toute façon, avec le verbe </w:t>
      </w:r>
      <w:r w:rsidRPr="008A246F">
        <w:rPr>
          <w:rFonts w:ascii="Helvetica" w:eastAsia="Times New Roman" w:hAnsi="Helvetica" w:cs="Times New Roman"/>
          <w:i/>
          <w:iCs/>
          <w:color w:val="FF0C18"/>
          <w:sz w:val="26"/>
          <w:szCs w:val="26"/>
          <w:lang w:val="fr-FR"/>
        </w:rPr>
        <w:t>avoir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, </w:t>
      </w:r>
      <w:r w:rsidRPr="008A246F">
        <w:rPr>
          <w:rFonts w:ascii="Helvetica" w:eastAsia="Times New Roman" w:hAnsi="Helvetica" w:cs="Times New Roman"/>
          <w:i/>
          <w:iCs/>
          <w:color w:val="4C4B4B"/>
          <w:sz w:val="26"/>
          <w:szCs w:val="26"/>
          <w:lang w:val="fr-FR"/>
        </w:rPr>
        <w:t>bénir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 ne prend </w:t>
      </w:r>
      <w:r w:rsidRPr="008A246F">
        <w:rPr>
          <w:rFonts w:ascii="Helvetica" w:eastAsia="Times New Roman" w:hAnsi="Helvetica" w:cs="Times New Roman"/>
          <w:color w:val="FF0C18"/>
          <w:sz w:val="26"/>
          <w:szCs w:val="26"/>
          <w:lang w:val="fr-FR"/>
        </w:rPr>
        <w:t>jamais de </w:t>
      </w:r>
      <w:r w:rsidRPr="008A246F">
        <w:rPr>
          <w:rFonts w:ascii="Helvetica" w:eastAsia="Times New Roman" w:hAnsi="Helvetica" w:cs="Times New Roman"/>
          <w:i/>
          <w:iCs/>
          <w:color w:val="FF0C18"/>
          <w:sz w:val="26"/>
          <w:szCs w:val="26"/>
          <w:lang w:val="fr-FR"/>
        </w:rPr>
        <w:t>t</w:t>
      </w:r>
      <w:r w:rsidRPr="008A246F">
        <w:rPr>
          <w:rFonts w:ascii="Helvetica" w:eastAsia="Times New Roman" w:hAnsi="Helvetica" w:cs="Times New Roman"/>
          <w:color w:val="4C4B4B"/>
          <w:sz w:val="26"/>
          <w:szCs w:val="26"/>
          <w:lang w:val="fr-FR"/>
        </w:rPr>
        <w:t>.</w:t>
      </w:r>
    </w:p>
    <w:p w14:paraId="75454707" w14:textId="77777777" w:rsidR="008A246F" w:rsidRPr="008A246F" w:rsidRDefault="008A246F" w:rsidP="008A246F">
      <w:pPr>
        <w:shd w:val="clear" w:color="auto" w:fill="FDFDFD"/>
        <w:spacing w:before="672" w:after="192" w:line="432" w:lineRule="atLeast"/>
        <w:ind w:left="576" w:right="456"/>
        <w:outlineLvl w:val="1"/>
        <w:rPr>
          <w:rFonts w:ascii="Helvetica" w:eastAsia="Times New Roman" w:hAnsi="Helvetica" w:cs="Times New Roman"/>
          <w:b/>
          <w:bCs/>
          <w:color w:val="797878"/>
          <w:sz w:val="43"/>
          <w:szCs w:val="43"/>
          <w:lang w:val="fr-FR"/>
        </w:rPr>
      </w:pPr>
      <w:r w:rsidRPr="008A246F">
        <w:rPr>
          <w:rFonts w:ascii="Helvetica" w:eastAsia="Times New Roman" w:hAnsi="Helvetica" w:cs="Times New Roman"/>
          <w:b/>
          <w:bCs/>
          <w:color w:val="797878"/>
          <w:sz w:val="43"/>
          <w:szCs w:val="43"/>
          <w:lang w:val="fr-FR"/>
        </w:rPr>
        <w:t>Les principaux verbes du 2e groupe</w:t>
      </w:r>
    </w:p>
    <w:tbl>
      <w:tblPr>
        <w:tblW w:w="10560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9"/>
        <w:gridCol w:w="3321"/>
        <w:gridCol w:w="3440"/>
      </w:tblGrid>
      <w:tr w:rsidR="008A246F" w:rsidRPr="008A246F" w14:paraId="7FB8A166" w14:textId="77777777" w:rsidTr="008A246F">
        <w:tc>
          <w:tcPr>
            <w:tcW w:w="0" w:type="auto"/>
            <w:shd w:val="clear" w:color="auto" w:fill="FDFDFD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DC2C502" w14:textId="77777777" w:rsidR="008A246F" w:rsidRPr="008A246F" w:rsidRDefault="008A246F" w:rsidP="008A246F">
            <w:pPr>
              <w:spacing w:after="0" w:line="360" w:lineRule="atLeast"/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</w:pP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t>Accomplir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adoucir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affaiblir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agir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alourdir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amincir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lastRenderedPageBreak/>
              <w:t>anéantir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aplatir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arrondir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appauvrir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applaudir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approfondir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arrondir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attendrir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atterrir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avertir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bâtir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blanchir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bondir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démolir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désobéir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divertir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durcir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éblouir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éclaircir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élargir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engloutir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enrichir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ensevelir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envahir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épaissir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établir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évanouir</w:t>
            </w:r>
          </w:p>
        </w:tc>
        <w:tc>
          <w:tcPr>
            <w:tcW w:w="0" w:type="auto"/>
            <w:shd w:val="clear" w:color="auto" w:fill="FDFDFD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40CEC77" w14:textId="77777777" w:rsidR="008A246F" w:rsidRPr="008A246F" w:rsidRDefault="008A246F" w:rsidP="008A246F">
            <w:pPr>
              <w:spacing w:after="0" w:line="360" w:lineRule="atLeast"/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</w:pP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lastRenderedPageBreak/>
              <w:t>faiblir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finir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flétrir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fleurir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fournir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fraîchir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lastRenderedPageBreak/>
              <w:t>franchir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garantir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garnir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gémir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grandir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gravir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grossir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guérir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haïr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intervertir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investir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jaillir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jaunir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jouir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maigrir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meurtrir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mincir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moisir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mugir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munir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noircir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nourrir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obéir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pâlir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périr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pétrir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pourrir</w:t>
            </w:r>
          </w:p>
        </w:tc>
        <w:tc>
          <w:tcPr>
            <w:tcW w:w="0" w:type="auto"/>
            <w:shd w:val="clear" w:color="auto" w:fill="FDFDFD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ED86C1E" w14:textId="77777777" w:rsidR="008A246F" w:rsidRPr="008A246F" w:rsidRDefault="008A246F" w:rsidP="008A246F">
            <w:pPr>
              <w:spacing w:after="0" w:line="360" w:lineRule="atLeast"/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</w:pP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lastRenderedPageBreak/>
              <w:t>punir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raccourcir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rafraîchir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rajeunir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ralentir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réagir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lastRenderedPageBreak/>
              <w:t>réfléchir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refroidir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rejaillir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remplir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répartir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ressaisir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rétablir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rétrécir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réunir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réussir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rôtir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rougir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rugir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saisir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salir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subir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surgir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ternir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tiédir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trahir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unir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vieillir</w:t>
            </w:r>
            <w:r w:rsidRPr="008A246F">
              <w:rPr>
                <w:rFonts w:ascii="Helvetica" w:eastAsia="Times New Roman" w:hAnsi="Helvetica" w:cs="Times New Roman"/>
                <w:color w:val="4C4B4B"/>
                <w:sz w:val="24"/>
                <w:szCs w:val="24"/>
                <w:lang w:val="fr-FR"/>
              </w:rPr>
              <w:br/>
              <w:t>vomir</w:t>
            </w:r>
          </w:p>
        </w:tc>
      </w:tr>
    </w:tbl>
    <w:p w14:paraId="7B225C75" w14:textId="77777777" w:rsidR="00F53FA2" w:rsidRPr="008A246F" w:rsidRDefault="00F53FA2">
      <w:pPr>
        <w:rPr>
          <w:lang w:val="fr-FR"/>
        </w:rPr>
      </w:pPr>
    </w:p>
    <w:sectPr w:rsidR="00F53FA2" w:rsidRPr="008A246F" w:rsidSect="008A246F">
      <w:pgSz w:w="11907" w:h="16840" w:code="9"/>
      <w:pgMar w:top="142" w:right="283" w:bottom="0" w:left="28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6F"/>
    <w:rsid w:val="008A246F"/>
    <w:rsid w:val="00C22EE2"/>
    <w:rsid w:val="00F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8D3A"/>
  <w15:chartTrackingRefBased/>
  <w15:docId w15:val="{8D24EFAD-7542-464C-BF3E-A87C3138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A246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8A246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246F"/>
    <w:rPr>
      <w:rFonts w:eastAsia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8A246F"/>
    <w:rPr>
      <w:rFonts w:eastAsia="Times New Roman" w:cs="Times New Roman"/>
      <w:b/>
      <w:bCs/>
      <w:sz w:val="36"/>
      <w:szCs w:val="36"/>
    </w:rPr>
  </w:style>
  <w:style w:type="character" w:styleId="Lienhypertexte">
    <w:name w:val="Hyperlink"/>
    <w:basedOn w:val="Policepardfaut"/>
    <w:uiPriority w:val="99"/>
    <w:semiHidden/>
    <w:unhideWhenUsed/>
    <w:rsid w:val="008A24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246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italicr">
    <w:name w:val="italicr"/>
    <w:basedOn w:val="Policepardfaut"/>
    <w:rsid w:val="008A246F"/>
  </w:style>
  <w:style w:type="character" w:customStyle="1" w:styleId="intro">
    <w:name w:val="intro"/>
    <w:basedOn w:val="Policepardfaut"/>
    <w:rsid w:val="008A246F"/>
  </w:style>
  <w:style w:type="paragraph" w:customStyle="1" w:styleId="p-haut">
    <w:name w:val="p-haut"/>
    <w:basedOn w:val="Normal"/>
    <w:rsid w:val="008A246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italic">
    <w:name w:val="italic"/>
    <w:basedOn w:val="Policepardfaut"/>
    <w:rsid w:val="008A246F"/>
  </w:style>
  <w:style w:type="character" w:customStyle="1" w:styleId="rouge">
    <w:name w:val="rouge"/>
    <w:basedOn w:val="Policepardfaut"/>
    <w:rsid w:val="008A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831">
          <w:marLeft w:val="0"/>
          <w:marRight w:val="0"/>
          <w:marTop w:val="1440"/>
          <w:marBottom w:val="960"/>
          <w:divBdr>
            <w:top w:val="single" w:sz="6" w:space="6" w:color="DDDDDD"/>
            <w:left w:val="single" w:sz="6" w:space="12" w:color="DDDDDD"/>
            <w:bottom w:val="single" w:sz="6" w:space="6" w:color="DDDDDD"/>
            <w:right w:val="single" w:sz="6" w:space="8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1</cp:revision>
  <dcterms:created xsi:type="dcterms:W3CDTF">2020-10-31T11:25:00Z</dcterms:created>
  <dcterms:modified xsi:type="dcterms:W3CDTF">2020-10-31T11:26:00Z</dcterms:modified>
</cp:coreProperties>
</file>