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D4F" w:rsidRDefault="00203D4F" w:rsidP="00203D4F">
      <w:pPr>
        <w:spacing w:line="480" w:lineRule="auto"/>
        <w:rPr>
          <w:rFonts w:ascii="Times New Roman" w:hAnsi="Times New Roman"/>
          <w:b/>
          <w:lang w:val="en-AU"/>
        </w:rPr>
      </w:pPr>
      <w:r w:rsidRPr="00C4020A">
        <w:rPr>
          <w:rFonts w:ascii="Times New Roman" w:hAnsi="Times New Roman"/>
          <w:b/>
          <w:lang w:val="en-AU"/>
        </w:rPr>
        <w:t xml:space="preserve">SUPPLEMENTARY MATERIAL </w:t>
      </w:r>
    </w:p>
    <w:p w:rsidR="00203D4F" w:rsidRDefault="00203D4F" w:rsidP="00203D4F">
      <w:pPr>
        <w:spacing w:line="480" w:lineRule="auto"/>
        <w:rPr>
          <w:rFonts w:ascii="Times New Roman" w:hAnsi="Times New Roman"/>
          <w:b/>
          <w:lang w:val="en-AU"/>
        </w:rPr>
      </w:pPr>
    </w:p>
    <w:p w:rsidR="00203D4F" w:rsidRPr="00C4020A" w:rsidRDefault="00203D4F" w:rsidP="00203D4F">
      <w:pPr>
        <w:spacing w:line="480" w:lineRule="auto"/>
        <w:rPr>
          <w:rFonts w:ascii="Times New Roman" w:hAnsi="Times New Roman"/>
          <w:b/>
          <w:lang w:val="en-AU"/>
        </w:rPr>
      </w:pPr>
      <w:r w:rsidRPr="00C4020A">
        <w:rPr>
          <w:rFonts w:ascii="Times New Roman" w:hAnsi="Times New Roman"/>
          <w:b/>
          <w:lang w:val="en-AU"/>
        </w:rPr>
        <w:t>Materials and Methods</w:t>
      </w:r>
    </w:p>
    <w:p w:rsidR="00203D4F" w:rsidRPr="00C4020A" w:rsidRDefault="00203D4F" w:rsidP="00203D4F">
      <w:pPr>
        <w:spacing w:line="480" w:lineRule="auto"/>
        <w:rPr>
          <w:rFonts w:ascii="Times New Roman" w:hAnsi="Times New Roman"/>
          <w:lang w:val="en-AU"/>
        </w:rPr>
      </w:pPr>
      <w:r w:rsidRPr="00C4020A">
        <w:rPr>
          <w:rFonts w:ascii="Times New Roman" w:hAnsi="Times New Roman"/>
          <w:b/>
          <w:bCs/>
        </w:rPr>
        <w:t>Whole genome sequencing</w:t>
      </w:r>
      <w:r w:rsidRPr="00C4020A">
        <w:rPr>
          <w:rFonts w:ascii="Times New Roman" w:hAnsi="Times New Roman"/>
          <w:lang w:val="en-AU"/>
        </w:rPr>
        <w:t xml:space="preserve"> </w:t>
      </w:r>
    </w:p>
    <w:p w:rsidR="00203D4F" w:rsidRPr="00C4020A" w:rsidRDefault="00203D4F" w:rsidP="00203D4F">
      <w:pPr>
        <w:spacing w:line="480" w:lineRule="auto"/>
        <w:rPr>
          <w:rFonts w:ascii="Times New Roman" w:hAnsi="Times New Roman"/>
          <w:b/>
          <w:lang w:val="en-AU"/>
        </w:rPr>
      </w:pPr>
      <w:r w:rsidRPr="00C4020A">
        <w:rPr>
          <w:rFonts w:ascii="Times New Roman" w:hAnsi="Times New Roman"/>
        </w:rPr>
        <w:t xml:space="preserve">For assembly annotation, </w:t>
      </w:r>
      <w:proofErr w:type="spellStart"/>
      <w:r w:rsidRPr="00C4020A">
        <w:rPr>
          <w:rFonts w:ascii="Times New Roman" w:hAnsi="Times New Roman"/>
        </w:rPr>
        <w:t>GeneMark</w:t>
      </w:r>
      <w:proofErr w:type="spellEnd"/>
      <w:r w:rsidRPr="00C4020A">
        <w:rPr>
          <w:rFonts w:ascii="Times New Roman" w:hAnsi="Times New Roman"/>
        </w:rPr>
        <w:t xml:space="preserve">, Glimmer3, </w:t>
      </w:r>
      <w:proofErr w:type="spellStart"/>
      <w:r w:rsidRPr="00C4020A">
        <w:rPr>
          <w:rFonts w:ascii="Times New Roman" w:hAnsi="Times New Roman"/>
        </w:rPr>
        <w:t>MetaGene</w:t>
      </w:r>
      <w:proofErr w:type="spellEnd"/>
      <w:r w:rsidRPr="00C4020A">
        <w:rPr>
          <w:rFonts w:ascii="Times New Roman" w:hAnsi="Times New Roman"/>
        </w:rPr>
        <w:t xml:space="preserve">, and </w:t>
      </w:r>
      <w:proofErr w:type="spellStart"/>
      <w:r w:rsidRPr="00C4020A">
        <w:rPr>
          <w:rFonts w:ascii="Times New Roman" w:hAnsi="Times New Roman"/>
        </w:rPr>
        <w:t>Zcurveb</w:t>
      </w:r>
      <w:proofErr w:type="spellEnd"/>
      <w:r w:rsidRPr="00C4020A">
        <w:rPr>
          <w:rFonts w:ascii="Times New Roman" w:hAnsi="Times New Roman"/>
        </w:rPr>
        <w:t xml:space="preserve"> were used to predict </w:t>
      </w:r>
      <w:proofErr w:type="spellStart"/>
      <w:r w:rsidRPr="00C4020A">
        <w:rPr>
          <w:rFonts w:ascii="Times New Roman" w:hAnsi="Times New Roman"/>
          <w:i/>
          <w:iCs/>
        </w:rPr>
        <w:t>ab</w:t>
      </w:r>
      <w:proofErr w:type="spellEnd"/>
      <w:r w:rsidRPr="00C4020A">
        <w:rPr>
          <w:rFonts w:ascii="Times New Roman" w:hAnsi="Times New Roman"/>
          <w:i/>
          <w:iCs/>
        </w:rPr>
        <w:t xml:space="preserve"> initio</w:t>
      </w:r>
      <w:r w:rsidRPr="00C4020A">
        <w:rPr>
          <w:rFonts w:ascii="Times New Roman" w:hAnsi="Times New Roman"/>
        </w:rPr>
        <w:t xml:space="preserve"> gene models. An evidence-based approach constructed open reading frames (ORFs) from BLASTX hits with the NCBI NR protein database using all BLAST hits with e-values better than 1e</w:t>
      </w:r>
      <w:r w:rsidRPr="00C4020A">
        <w:rPr>
          <w:rFonts w:ascii="Times New Roman" w:hAnsi="Times New Roman"/>
          <w:vertAlign w:val="superscript"/>
        </w:rPr>
        <w:t>-10</w:t>
      </w:r>
      <w:r w:rsidRPr="00C4020A">
        <w:rPr>
          <w:rFonts w:ascii="Times New Roman" w:hAnsi="Times New Roman"/>
        </w:rPr>
        <w:t xml:space="preserve"> as BLAST evidence. Where available, well-</w:t>
      </w:r>
      <w:proofErr w:type="spellStart"/>
      <w:r w:rsidRPr="00C4020A">
        <w:rPr>
          <w:rFonts w:ascii="Times New Roman" w:hAnsi="Times New Roman"/>
        </w:rPr>
        <w:t>curated</w:t>
      </w:r>
      <w:proofErr w:type="spellEnd"/>
      <w:r w:rsidRPr="00C4020A">
        <w:rPr>
          <w:rFonts w:ascii="Times New Roman" w:hAnsi="Times New Roman"/>
        </w:rPr>
        <w:t xml:space="preserve"> annotations from reference genomes were transferred to genome assemblies to improve automated annotation. </w:t>
      </w:r>
      <w:proofErr w:type="spellStart"/>
      <w:r w:rsidRPr="00C4020A">
        <w:rPr>
          <w:rFonts w:ascii="Times New Roman" w:hAnsi="Times New Roman"/>
          <w:i/>
          <w:iCs/>
        </w:rPr>
        <w:t>Ab</w:t>
      </w:r>
      <w:proofErr w:type="spellEnd"/>
      <w:r w:rsidRPr="00C4020A">
        <w:rPr>
          <w:rFonts w:ascii="Times New Roman" w:hAnsi="Times New Roman"/>
          <w:i/>
          <w:iCs/>
        </w:rPr>
        <w:t xml:space="preserve"> initio</w:t>
      </w:r>
      <w:r w:rsidRPr="00C4020A">
        <w:rPr>
          <w:rFonts w:ascii="Times New Roman" w:hAnsi="Times New Roman"/>
        </w:rPr>
        <w:t xml:space="preserve"> predictions, models generated using BLASTX hits against the NCBI NR protein database, transferred reference gene models, and manual gene models were clustered into potential gene loci. For each locus, the most likely non-conflicting gene models were selected based on the best available evidence. Discrepant gene models were manually reviewed.</w:t>
      </w:r>
    </w:p>
    <w:p w:rsidR="00203D4F" w:rsidRPr="00C4020A" w:rsidRDefault="00203D4F" w:rsidP="00203D4F">
      <w:pPr>
        <w:spacing w:line="480" w:lineRule="auto"/>
        <w:rPr>
          <w:rFonts w:ascii="Times New Roman" w:hAnsi="Times New Roman"/>
        </w:rPr>
      </w:pPr>
    </w:p>
    <w:p w:rsidR="00203D4F" w:rsidRPr="00C4020A" w:rsidRDefault="00203D4F" w:rsidP="00203D4F">
      <w:pPr>
        <w:spacing w:line="480" w:lineRule="auto"/>
        <w:rPr>
          <w:rFonts w:ascii="Times New Roman" w:hAnsi="Times New Roman"/>
          <w:b/>
          <w:bCs/>
        </w:rPr>
      </w:pPr>
      <w:r w:rsidRPr="00C4020A">
        <w:rPr>
          <w:rFonts w:ascii="Times New Roman" w:hAnsi="Times New Roman"/>
          <w:b/>
          <w:bCs/>
        </w:rPr>
        <w:t>Membrane lipid analysis</w:t>
      </w:r>
    </w:p>
    <w:p w:rsidR="00203D4F" w:rsidRDefault="00203D4F" w:rsidP="00203D4F">
      <w:pPr>
        <w:spacing w:line="480" w:lineRule="auto"/>
        <w:rPr>
          <w:rFonts w:ascii="Times New Roman" w:hAnsi="Times New Roman"/>
          <w:color w:val="000000"/>
        </w:rPr>
      </w:pPr>
      <w:r w:rsidRPr="00C4020A">
        <w:rPr>
          <w:rFonts w:ascii="Times New Roman" w:hAnsi="Times New Roman"/>
          <w:color w:val="000000"/>
        </w:rPr>
        <w:t xml:space="preserve">The membrane extract from each strain was </w:t>
      </w:r>
      <w:proofErr w:type="spellStart"/>
      <w:r w:rsidRPr="00C4020A">
        <w:rPr>
          <w:rFonts w:ascii="Times New Roman" w:hAnsi="Times New Roman"/>
          <w:color w:val="000000"/>
        </w:rPr>
        <w:t>resuspended</w:t>
      </w:r>
      <w:proofErr w:type="spellEnd"/>
      <w:r w:rsidRPr="00C4020A">
        <w:rPr>
          <w:rFonts w:ascii="Times New Roman" w:hAnsi="Times New Roman"/>
          <w:color w:val="000000"/>
        </w:rPr>
        <w:t xml:space="preserve"> in a mobile phase solution containing known concentrations of internal standards. The LC-MRM setup included use of an </w:t>
      </w:r>
      <w:proofErr w:type="spellStart"/>
      <w:r w:rsidRPr="00C4020A">
        <w:rPr>
          <w:rFonts w:ascii="Times New Roman" w:hAnsi="Times New Roman"/>
          <w:color w:val="000000"/>
        </w:rPr>
        <w:t>Alltech</w:t>
      </w:r>
      <w:proofErr w:type="spellEnd"/>
      <w:r w:rsidRPr="00C4020A">
        <w:rPr>
          <w:rFonts w:ascii="Times New Roman" w:hAnsi="Times New Roman"/>
          <w:color w:val="000000"/>
        </w:rPr>
        <w:t xml:space="preserve"> </w:t>
      </w:r>
      <w:proofErr w:type="spellStart"/>
      <w:r w:rsidRPr="00C4020A">
        <w:rPr>
          <w:rFonts w:ascii="Times New Roman" w:hAnsi="Times New Roman"/>
          <w:color w:val="000000"/>
        </w:rPr>
        <w:t>Saphira</w:t>
      </w:r>
      <w:proofErr w:type="spellEnd"/>
      <w:r w:rsidRPr="00C4020A">
        <w:rPr>
          <w:rFonts w:ascii="Times New Roman" w:hAnsi="Times New Roman"/>
          <w:color w:val="000000"/>
        </w:rPr>
        <w:t xml:space="preserve"> 50 mm × 1 mm internal diameter, 5-µm </w:t>
      </w:r>
      <w:proofErr w:type="spellStart"/>
      <w:r w:rsidRPr="00C4020A">
        <w:rPr>
          <w:rFonts w:ascii="Times New Roman" w:hAnsi="Times New Roman"/>
          <w:color w:val="000000"/>
        </w:rPr>
        <w:t>diol</w:t>
      </w:r>
      <w:proofErr w:type="spellEnd"/>
      <w:r w:rsidRPr="00C4020A">
        <w:rPr>
          <w:rFonts w:ascii="Times New Roman" w:hAnsi="Times New Roman"/>
          <w:color w:val="000000"/>
        </w:rPr>
        <w:t xml:space="preserve"> column with a mobile phase consisting of 84.8:14.8:0.5 (</w:t>
      </w:r>
      <w:proofErr w:type="spellStart"/>
      <w:r w:rsidRPr="00C4020A">
        <w:rPr>
          <w:rFonts w:ascii="Times New Roman" w:hAnsi="Times New Roman"/>
          <w:color w:val="000000"/>
        </w:rPr>
        <w:t>vol</w:t>
      </w:r>
      <w:proofErr w:type="spellEnd"/>
      <w:r w:rsidRPr="00C4020A">
        <w:rPr>
          <w:rFonts w:ascii="Times New Roman" w:hAnsi="Times New Roman"/>
          <w:color w:val="000000"/>
        </w:rPr>
        <w:t>/</w:t>
      </w:r>
      <w:proofErr w:type="spellStart"/>
      <w:r w:rsidRPr="00C4020A">
        <w:rPr>
          <w:rFonts w:ascii="Times New Roman" w:hAnsi="Times New Roman"/>
          <w:color w:val="000000"/>
        </w:rPr>
        <w:t>vol</w:t>
      </w:r>
      <w:proofErr w:type="spellEnd"/>
      <w:r w:rsidRPr="00C4020A">
        <w:rPr>
          <w:rFonts w:ascii="Times New Roman" w:hAnsi="Times New Roman"/>
          <w:color w:val="000000"/>
        </w:rPr>
        <w:t>/</w:t>
      </w:r>
      <w:proofErr w:type="spellStart"/>
      <w:r w:rsidRPr="00C4020A">
        <w:rPr>
          <w:rFonts w:ascii="Times New Roman" w:hAnsi="Times New Roman"/>
          <w:color w:val="000000"/>
        </w:rPr>
        <w:t>vol</w:t>
      </w:r>
      <w:proofErr w:type="spellEnd"/>
      <w:r w:rsidRPr="00C4020A">
        <w:rPr>
          <w:rFonts w:ascii="Times New Roman" w:hAnsi="Times New Roman"/>
          <w:color w:val="000000"/>
        </w:rPr>
        <w:t>) (</w:t>
      </w:r>
      <w:proofErr w:type="spellStart"/>
      <w:r w:rsidRPr="00C4020A">
        <w:rPr>
          <w:rFonts w:ascii="Times New Roman" w:hAnsi="Times New Roman"/>
          <w:color w:val="000000"/>
        </w:rPr>
        <w:t>chloroform:methanol:water</w:t>
      </w:r>
      <w:proofErr w:type="spellEnd"/>
      <w:r w:rsidRPr="00C4020A">
        <w:rPr>
          <w:rFonts w:ascii="Times New Roman" w:hAnsi="Times New Roman"/>
          <w:color w:val="000000"/>
        </w:rPr>
        <w:t xml:space="preserve">) + 20 </w:t>
      </w:r>
      <w:proofErr w:type="spellStart"/>
      <w:r w:rsidRPr="00C4020A">
        <w:rPr>
          <w:rFonts w:ascii="Times New Roman" w:hAnsi="Times New Roman"/>
          <w:color w:val="000000"/>
        </w:rPr>
        <w:t>mM</w:t>
      </w:r>
      <w:proofErr w:type="spellEnd"/>
      <w:r w:rsidRPr="00C4020A">
        <w:rPr>
          <w:rFonts w:ascii="Times New Roman" w:hAnsi="Times New Roman"/>
          <w:color w:val="000000"/>
        </w:rPr>
        <w:t xml:space="preserve"> ammonium acetate and 0.1% </w:t>
      </w:r>
      <w:proofErr w:type="spellStart"/>
      <w:r w:rsidRPr="00C4020A">
        <w:rPr>
          <w:rFonts w:ascii="Times New Roman" w:hAnsi="Times New Roman"/>
          <w:color w:val="000000"/>
        </w:rPr>
        <w:t>vol</w:t>
      </w:r>
      <w:proofErr w:type="spellEnd"/>
      <w:r w:rsidRPr="00C4020A">
        <w:rPr>
          <w:rFonts w:ascii="Times New Roman" w:hAnsi="Times New Roman"/>
          <w:color w:val="000000"/>
        </w:rPr>
        <w:t xml:space="preserve"> acetic acid with a fl</w:t>
      </w:r>
      <w:r>
        <w:rPr>
          <w:rFonts w:ascii="Times New Roman" w:hAnsi="Times New Roman"/>
          <w:color w:val="000000"/>
        </w:rPr>
        <w:t>ow rate of 150 µl/min with a 1 µ</w:t>
      </w:r>
      <w:r w:rsidRPr="00C4020A">
        <w:rPr>
          <w:rFonts w:ascii="Times New Roman" w:hAnsi="Times New Roman"/>
          <w:color w:val="000000"/>
        </w:rPr>
        <w:t xml:space="preserve">l injection volume. MS/MS fragmentation reactions were detected by an API4000 </w:t>
      </w:r>
      <w:proofErr w:type="spellStart"/>
      <w:r w:rsidRPr="00C4020A">
        <w:rPr>
          <w:rFonts w:ascii="Times New Roman" w:hAnsi="Times New Roman"/>
          <w:color w:val="000000"/>
        </w:rPr>
        <w:t>Qtrap</w:t>
      </w:r>
      <w:proofErr w:type="spellEnd"/>
      <w:r w:rsidRPr="00C4020A">
        <w:rPr>
          <w:rFonts w:ascii="Times New Roman" w:hAnsi="Times New Roman"/>
          <w:color w:val="000000"/>
        </w:rPr>
        <w:t xml:space="preserve"> (Applied </w:t>
      </w:r>
      <w:proofErr w:type="spellStart"/>
      <w:r w:rsidRPr="00C4020A">
        <w:rPr>
          <w:rFonts w:ascii="Times New Roman" w:hAnsi="Times New Roman"/>
          <w:color w:val="000000"/>
        </w:rPr>
        <w:t>Biosystems</w:t>
      </w:r>
      <w:proofErr w:type="spellEnd"/>
      <w:r w:rsidRPr="00C4020A">
        <w:rPr>
          <w:rFonts w:ascii="Times New Roman" w:hAnsi="Times New Roman"/>
          <w:color w:val="000000"/>
        </w:rPr>
        <w:t>) corresponding to loss of PG [M-172]</w:t>
      </w:r>
      <w:r w:rsidRPr="00C4020A">
        <w:rPr>
          <w:rFonts w:ascii="Times New Roman" w:hAnsi="Times New Roman"/>
          <w:color w:val="000000"/>
          <w:vertAlign w:val="superscript"/>
        </w:rPr>
        <w:t>+</w:t>
      </w:r>
      <w:r w:rsidRPr="00C4020A">
        <w:rPr>
          <w:rFonts w:ascii="Times New Roman" w:hAnsi="Times New Roman"/>
          <w:color w:val="000000"/>
        </w:rPr>
        <w:t xml:space="preserve"> of C30:0 through C36:0 PG and losses of L-PG [M-300]</w:t>
      </w:r>
      <w:r w:rsidRPr="00C4020A">
        <w:rPr>
          <w:rFonts w:ascii="Times New Roman" w:hAnsi="Times New Roman"/>
          <w:color w:val="000000"/>
          <w:vertAlign w:val="superscript"/>
        </w:rPr>
        <w:t>+</w:t>
      </w:r>
      <w:r w:rsidRPr="00C4020A">
        <w:rPr>
          <w:rFonts w:ascii="Times New Roman" w:hAnsi="Times New Roman"/>
          <w:color w:val="000000"/>
        </w:rPr>
        <w:t xml:space="preserve"> for C30:0 through C36:0 L-PG. </w:t>
      </w:r>
      <w:proofErr w:type="spellStart"/>
      <w:r w:rsidRPr="00C4020A">
        <w:rPr>
          <w:rFonts w:ascii="Times New Roman" w:hAnsi="Times New Roman"/>
          <w:color w:val="000000"/>
        </w:rPr>
        <w:t>Deuterated</w:t>
      </w:r>
      <w:proofErr w:type="spellEnd"/>
      <w:r w:rsidRPr="00C4020A">
        <w:rPr>
          <w:rFonts w:ascii="Times New Roman" w:hAnsi="Times New Roman"/>
          <w:color w:val="000000"/>
        </w:rPr>
        <w:t xml:space="preserve"> and </w:t>
      </w:r>
      <w:proofErr w:type="spellStart"/>
      <w:r w:rsidRPr="00C4020A">
        <w:rPr>
          <w:rFonts w:ascii="Times New Roman" w:hAnsi="Times New Roman"/>
          <w:color w:val="000000"/>
        </w:rPr>
        <w:t>nondeuterated</w:t>
      </w:r>
      <w:proofErr w:type="spellEnd"/>
      <w:r w:rsidRPr="00C4020A">
        <w:rPr>
          <w:rFonts w:ascii="Times New Roman" w:hAnsi="Times New Roman"/>
          <w:color w:val="000000"/>
        </w:rPr>
        <w:t xml:space="preserve"> standards were used to generate a </w:t>
      </w:r>
      <w:r w:rsidRPr="00C4020A">
        <w:rPr>
          <w:rFonts w:ascii="Times New Roman" w:hAnsi="Times New Roman"/>
          <w:color w:val="000000"/>
        </w:rPr>
        <w:lastRenderedPageBreak/>
        <w:t>calibration curve for the phospholipids being assessed. The PG and L-PG content were reported as the respective sum of the measured molecular species (C30:0 to C36:0). The phosphorus content of the extract was determined to normalize total PG and L-PG concentrations using modified methods from</w:t>
      </w:r>
      <w:r>
        <w:rPr>
          <w:rFonts w:ascii="Times New Roman" w:hAnsi="Times New Roman"/>
          <w:color w:val="000000"/>
        </w:rPr>
        <w:t xml:space="preserve"> </w:t>
      </w:r>
      <w:r>
        <w:rPr>
          <w:rFonts w:ascii="Times New Roman" w:hAnsi="Times New Roman"/>
          <w:color w:val="000000"/>
        </w:rPr>
        <w:fldChar w:fldCharType="begin"/>
      </w:r>
      <w:r>
        <w:rPr>
          <w:rFonts w:ascii="Times New Roman" w:hAnsi="Times New Roman"/>
          <w:color w:val="000000"/>
        </w:rPr>
        <w:instrText xml:space="preserve"> ADDIN EN.CITE &lt;EndNote&gt;&lt;Cite&gt;&lt;RecNum&gt;72&lt;/RecNum&gt;&lt;record&gt;&lt;rec-number&gt;72&lt;/rec-number&gt;&lt;foreign-keys&gt;&lt;key app="EN" db-id="9vzedvzvwrzr0kew2zpx9stlwefpd5dsdxs5"&gt;72&lt;/key&gt;&lt;/foreign-keys&gt;&lt;ref-type name="Web Page"&gt;12&lt;/ref-type&gt;&lt;contributors&gt;&lt;/contributors&gt;&lt;titles&gt;&lt;title&gt;http://www.avantilipids.com/index.php?option=com_content&amp;amp;view=article&amp;amp;id=1686&amp;amp;Itemid=405&lt;/title&gt;&lt;/titles&gt;&lt;dates&gt;&lt;/dates&gt;&lt;urls&gt;&lt;/urls&gt;&lt;/record&gt;&lt;/Cite&gt;&lt;/EndNote&gt;</w:instrText>
      </w:r>
      <w:r>
        <w:rPr>
          <w:rFonts w:ascii="Times New Roman" w:hAnsi="Times New Roman"/>
          <w:color w:val="000000"/>
        </w:rPr>
        <w:fldChar w:fldCharType="separate"/>
      </w:r>
      <w:r>
        <w:rPr>
          <w:rFonts w:ascii="Times New Roman" w:hAnsi="Times New Roman"/>
          <w:color w:val="000000"/>
        </w:rPr>
        <w:t>[1]</w:t>
      </w:r>
      <w:r>
        <w:rPr>
          <w:rFonts w:ascii="Times New Roman" w:hAnsi="Times New Roman"/>
          <w:color w:val="000000"/>
        </w:rPr>
        <w:fldChar w:fldCharType="end"/>
      </w:r>
      <w:r>
        <w:rPr>
          <w:rFonts w:ascii="Times New Roman" w:hAnsi="Times New Roman"/>
          <w:color w:val="000000"/>
        </w:rPr>
        <w:t>.</w:t>
      </w:r>
    </w:p>
    <w:p w:rsidR="00203D4F" w:rsidRDefault="00203D4F" w:rsidP="00203D4F">
      <w:pPr>
        <w:spacing w:line="480" w:lineRule="auto"/>
        <w:rPr>
          <w:rFonts w:ascii="Times New Roman" w:hAnsi="Times New Roman"/>
          <w:color w:val="000000"/>
        </w:rPr>
      </w:pPr>
    </w:p>
    <w:p w:rsidR="00203D4F" w:rsidRDefault="00203D4F" w:rsidP="00203D4F">
      <w:pPr>
        <w:spacing w:line="480" w:lineRule="auto"/>
        <w:rPr>
          <w:rFonts w:ascii="Times New Roman" w:hAnsi="Times New Roman"/>
          <w:color w:val="000000"/>
        </w:rPr>
      </w:pPr>
    </w:p>
    <w:p w:rsidR="00203D4F" w:rsidRPr="00681300" w:rsidRDefault="00203D4F" w:rsidP="00203D4F">
      <w:pPr>
        <w:rPr>
          <w:rFonts w:ascii="Times New Roman" w:hAnsi="Times New Roman"/>
          <w:b/>
        </w:rPr>
      </w:pPr>
      <w:r w:rsidRPr="00681300">
        <w:rPr>
          <w:rFonts w:ascii="Times New Roman" w:hAnsi="Times New Roman"/>
          <w:b/>
        </w:rPr>
        <w:t>References</w:t>
      </w:r>
    </w:p>
    <w:p w:rsidR="00203D4F" w:rsidRDefault="00203D4F" w:rsidP="00203D4F">
      <w:pPr>
        <w:rPr>
          <w:rFonts w:ascii="Times New Roman" w:hAnsi="Times New Roman"/>
        </w:rPr>
      </w:pPr>
    </w:p>
    <w:p w:rsidR="00203D4F" w:rsidRPr="00C4020A" w:rsidRDefault="00203D4F" w:rsidP="00203D4F">
      <w:r>
        <w:rPr>
          <w:rFonts w:ascii="Times New Roman" w:hAnsi="Times New Roman"/>
        </w:rPr>
        <w:fldChar w:fldCharType="begin"/>
      </w:r>
      <w:r>
        <w:rPr>
          <w:rFonts w:ascii="Times New Roman" w:hAnsi="Times New Roman"/>
        </w:rPr>
        <w:instrText xml:space="preserve"> ADDIN EN.REFLIST </w:instrText>
      </w:r>
      <w:r>
        <w:rPr>
          <w:rFonts w:ascii="Times New Roman" w:hAnsi="Times New Roman"/>
        </w:rPr>
        <w:fldChar w:fldCharType="separate"/>
      </w:r>
      <w:r w:rsidRPr="00C4020A">
        <w:t xml:space="preserve">1. </w:t>
      </w:r>
      <w:hyperlink r:id="rId4" w:history="1">
        <w:r w:rsidRPr="00C4020A">
          <w:rPr>
            <w:rStyle w:val="Hyperlink"/>
          </w:rPr>
          <w:t>http://www.avantilipids.com/index.php?option=com_content&amp;view=article&amp;id=1686&amp;Itemid=405</w:t>
        </w:r>
      </w:hyperlink>
    </w:p>
    <w:p w:rsidR="00203D4F" w:rsidRDefault="00203D4F" w:rsidP="00203D4F">
      <w:pPr>
        <w:ind w:left="720" w:hanging="720"/>
      </w:pPr>
    </w:p>
    <w:p w:rsidR="009C6F08" w:rsidRDefault="00203D4F" w:rsidP="00203D4F">
      <w:r>
        <w:rPr>
          <w:rFonts w:ascii="Times New Roman" w:hAnsi="Times New Roman"/>
        </w:rPr>
        <w:fldChar w:fldCharType="end"/>
      </w:r>
    </w:p>
    <w:sectPr w:rsidR="009C6F08" w:rsidSect="009C6F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7"/>
  <w:proofState w:spelling="clean"/>
  <w:defaultTabStop w:val="720"/>
  <w:characterSpacingControl w:val="doNotCompress"/>
  <w:compat>
    <w:applyBreakingRules/>
    <w:useFELayout/>
  </w:compat>
  <w:rsids>
    <w:rsidRoot w:val="00203D4F"/>
    <w:rsid w:val="000B42EC"/>
    <w:rsid w:val="00203D4F"/>
    <w:rsid w:val="009C6F0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D4F"/>
    <w:rPr>
      <w:rFonts w:ascii="Cambria" w:eastAsia="Cambria" w:hAnsi="Cambria"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3D4F"/>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vantilipids.com/index.php?option=com_content&amp;view=article&amp;id=1686&amp;Itemid=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Peleg</dc:creator>
  <cp:lastModifiedBy>Anton Peleg</cp:lastModifiedBy>
  <cp:revision>1</cp:revision>
  <dcterms:created xsi:type="dcterms:W3CDTF">2011-11-16T06:40:00Z</dcterms:created>
  <dcterms:modified xsi:type="dcterms:W3CDTF">2011-11-16T06:42:00Z</dcterms:modified>
</cp:coreProperties>
</file>