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82A37" w14:textId="77777777" w:rsidR="00912444" w:rsidRPr="00E626FC" w:rsidRDefault="00912444" w:rsidP="00912444">
      <w:pPr>
        <w:spacing w:line="360" w:lineRule="auto"/>
        <w:jc w:val="both"/>
        <w:rPr>
          <w:sz w:val="20"/>
          <w:szCs w:val="20"/>
          <w:lang w:val="en-GB"/>
        </w:rPr>
      </w:pPr>
      <w:r>
        <w:rPr>
          <w:b/>
          <w:sz w:val="20"/>
          <w:szCs w:val="20"/>
          <w:lang w:val="en-GB"/>
        </w:rPr>
        <w:t>Fig. 1</w:t>
      </w:r>
      <w:r w:rsidRPr="3DD7BC59">
        <w:rPr>
          <w:b/>
          <w:sz w:val="20"/>
          <w:szCs w:val="20"/>
          <w:lang w:val="en-GB"/>
        </w:rPr>
        <w:t xml:space="preserve">: Dynamics of biofilm formation and plant responses of potato </w:t>
      </w:r>
      <w:r w:rsidRPr="3DD7BC59">
        <w:rPr>
          <w:b/>
          <w:bCs/>
          <w:sz w:val="20"/>
          <w:szCs w:val="20"/>
          <w:lang w:val="en-GB"/>
        </w:rPr>
        <w:t>to</w:t>
      </w:r>
      <w:r w:rsidRPr="3DD7BC59">
        <w:rPr>
          <w:b/>
          <w:sz w:val="20"/>
          <w:szCs w:val="20"/>
          <w:lang w:val="en-GB"/>
        </w:rPr>
        <w:t xml:space="preserve"> </w:t>
      </w:r>
      <w:r w:rsidRPr="3DD7BC59">
        <w:rPr>
          <w:b/>
          <w:i/>
          <w:sz w:val="20"/>
          <w:szCs w:val="20"/>
          <w:lang w:val="en-GB"/>
        </w:rPr>
        <w:t>B. subtilis</w:t>
      </w:r>
      <w:r w:rsidRPr="3DD7BC59">
        <w:rPr>
          <w:b/>
          <w:sz w:val="20"/>
          <w:szCs w:val="20"/>
          <w:lang w:val="en-GB"/>
        </w:rPr>
        <w:t>.</w:t>
      </w:r>
      <w:r w:rsidRPr="3DD7BC59">
        <w:rPr>
          <w:sz w:val="20"/>
          <w:szCs w:val="20"/>
          <w:lang w:val="en-GB"/>
        </w:rPr>
        <w:t xml:space="preserve"> A) Biofilm formation (YFP fluorescence) was followed on potato roots after incubation with </w:t>
      </w:r>
      <w:r w:rsidRPr="3DD7BC59">
        <w:rPr>
          <w:i/>
          <w:iCs/>
          <w:sz w:val="20"/>
          <w:szCs w:val="20"/>
          <w:lang w:val="en-GB"/>
        </w:rPr>
        <w:t>B. subtilis</w:t>
      </w:r>
      <w:r w:rsidRPr="3DD7BC59">
        <w:rPr>
          <w:sz w:val="20"/>
          <w:szCs w:val="20"/>
          <w:lang w:val="en-GB"/>
        </w:rPr>
        <w:t xml:space="preserve"> PS-218 YFP for a specified time. Scale is 50 µm. B) Potato response to bacteria </w:t>
      </w:r>
      <w:r w:rsidRPr="3702F5A0">
        <w:rPr>
          <w:sz w:val="20"/>
          <w:szCs w:val="20"/>
          <w:lang w:val="en-GB"/>
        </w:rPr>
        <w:t>colonization</w:t>
      </w:r>
      <w:r w:rsidRPr="3DD7BC59">
        <w:rPr>
          <w:sz w:val="20"/>
          <w:szCs w:val="20"/>
          <w:lang w:val="en-GB"/>
        </w:rPr>
        <w:t xml:space="preserve"> is robustly followed by expression of PTI5 and 13-LOX. Relative expression of PTI5 and 13-LOX in roots and shoots of </w:t>
      </w:r>
      <w:r w:rsidRPr="3DD7BC59">
        <w:rPr>
          <w:i/>
          <w:sz w:val="20"/>
          <w:szCs w:val="20"/>
          <w:lang w:val="en-GB"/>
        </w:rPr>
        <w:t>B. subtilis</w:t>
      </w:r>
      <w:r w:rsidRPr="3DD7BC59">
        <w:rPr>
          <w:sz w:val="20"/>
          <w:szCs w:val="20"/>
          <w:lang w:val="en-GB"/>
        </w:rPr>
        <w:t xml:space="preserve"> PS-218 YFP inoculated and non-inoculated plants, after overnight incubation. Relative gene expression</w:t>
      </w:r>
      <w:r w:rsidRPr="3DD7BC59">
        <w:rPr>
          <w:lang w:val="en-GB"/>
        </w:rPr>
        <w:t xml:space="preserve"> </w:t>
      </w:r>
      <w:r w:rsidRPr="3DD7BC59">
        <w:rPr>
          <w:sz w:val="20"/>
          <w:szCs w:val="20"/>
          <w:lang w:val="en-GB"/>
        </w:rPr>
        <w:t xml:space="preserve">was scaled to the average gene expression of non-inoculated group. Welch's t-test was used to determine differences between treatments. Individual measurements (circles), mean (squares) and standard error are shown. Asterisks (*) denote a statistically significant difference (p-value &lt; 0.05). Data from all experiments are given in </w:t>
      </w:r>
      <w:r>
        <w:rPr>
          <w:sz w:val="20"/>
          <w:szCs w:val="20"/>
          <w:lang w:val="en-GB"/>
        </w:rPr>
        <w:t>Table S7</w:t>
      </w:r>
      <w:r w:rsidRPr="3DD7BC59">
        <w:rPr>
          <w:sz w:val="20"/>
          <w:szCs w:val="20"/>
          <w:lang w:val="en-GB"/>
        </w:rPr>
        <w:t xml:space="preserve">.  C) Dynamics of PTI5 and 13-LOX expression (up- or downregulation) in roots and shoots of potato plants after inoculation with high </w:t>
      </w:r>
      <w:r w:rsidRPr="3DD7BC59">
        <w:rPr>
          <w:i/>
          <w:sz w:val="20"/>
          <w:szCs w:val="20"/>
          <w:lang w:val="en-GB"/>
        </w:rPr>
        <w:t>B. subtilis</w:t>
      </w:r>
      <w:r w:rsidRPr="3DD7BC59">
        <w:rPr>
          <w:sz w:val="20"/>
          <w:szCs w:val="20"/>
          <w:lang w:val="en-GB"/>
        </w:rPr>
        <w:t xml:space="preserve"> strain PS-218 culture density (10</w:t>
      </w:r>
      <w:r w:rsidRPr="3DD7BC59">
        <w:rPr>
          <w:sz w:val="20"/>
          <w:szCs w:val="20"/>
          <w:vertAlign w:val="superscript"/>
          <w:lang w:val="en-GB"/>
        </w:rPr>
        <w:t>7</w:t>
      </w:r>
      <w:r w:rsidRPr="3DD7BC59">
        <w:rPr>
          <w:sz w:val="20"/>
          <w:szCs w:val="20"/>
          <w:lang w:val="en-GB"/>
        </w:rPr>
        <w:t xml:space="preserve"> CFU/</w:t>
      </w:r>
      <w:r w:rsidRPr="3702F5A0">
        <w:rPr>
          <w:sz w:val="20"/>
          <w:szCs w:val="20"/>
          <w:lang w:val="en-GB"/>
        </w:rPr>
        <w:t>mL</w:t>
      </w:r>
      <w:r w:rsidRPr="3DD7BC59">
        <w:rPr>
          <w:sz w:val="20"/>
          <w:szCs w:val="20"/>
          <w:lang w:val="en-GB"/>
        </w:rPr>
        <w:t xml:space="preserve">) and incubation for a specified time. Data of all experiments are available in </w:t>
      </w:r>
      <w:r>
        <w:rPr>
          <w:sz w:val="20"/>
          <w:szCs w:val="20"/>
          <w:lang w:val="en-GB"/>
        </w:rPr>
        <w:t>Table S7</w:t>
      </w:r>
      <w:r w:rsidRPr="3DD7BC59">
        <w:rPr>
          <w:sz w:val="20"/>
          <w:szCs w:val="20"/>
          <w:lang w:val="en-GB"/>
        </w:rPr>
        <w:t>. Up- or downregulation was determined by comparing expression in inoculated plants with expression in non-inoculated plants. ↑</w:t>
      </w:r>
      <w:r>
        <w:rPr>
          <w:sz w:val="20"/>
          <w:szCs w:val="20"/>
          <w:lang w:val="en-GB"/>
        </w:rPr>
        <w:t xml:space="preserve">: </w:t>
      </w:r>
      <w:r w:rsidRPr="3DD7BC59">
        <w:rPr>
          <w:sz w:val="20"/>
          <w:szCs w:val="20"/>
          <w:lang w:val="en-GB"/>
        </w:rPr>
        <w:t>upregulation, ↓</w:t>
      </w:r>
      <w:r>
        <w:rPr>
          <w:sz w:val="20"/>
          <w:szCs w:val="20"/>
          <w:lang w:val="en-GB"/>
        </w:rPr>
        <w:t>:</w:t>
      </w:r>
      <w:r w:rsidRPr="3DD7BC59">
        <w:rPr>
          <w:sz w:val="20"/>
          <w:szCs w:val="20"/>
          <w:lang w:val="en-GB"/>
        </w:rPr>
        <w:t xml:space="preserve"> downregulation, </w:t>
      </w:r>
      <w:r w:rsidRPr="3DD7BC59">
        <w:rPr>
          <w:b/>
          <w:sz w:val="20"/>
          <w:szCs w:val="20"/>
          <w:lang w:val="en-GB"/>
        </w:rPr>
        <w:t>↑</w:t>
      </w:r>
      <w:r>
        <w:rPr>
          <w:sz w:val="20"/>
          <w:szCs w:val="20"/>
          <w:lang w:val="en-GB"/>
        </w:rPr>
        <w:t>:</w:t>
      </w:r>
      <w:r w:rsidRPr="3DD7BC59">
        <w:rPr>
          <w:sz w:val="20"/>
          <w:szCs w:val="20"/>
          <w:lang w:val="en-GB"/>
        </w:rPr>
        <w:t xml:space="preserve"> statistically significant upregulation determined by Welch’s t-test, </w:t>
      </w:r>
      <w:r w:rsidRPr="3DD7BC59">
        <w:rPr>
          <w:b/>
          <w:sz w:val="20"/>
          <w:szCs w:val="20"/>
          <w:lang w:val="en-GB"/>
        </w:rPr>
        <w:t>↓</w:t>
      </w:r>
      <w:r>
        <w:rPr>
          <w:sz w:val="20"/>
          <w:szCs w:val="20"/>
          <w:lang w:val="en-GB"/>
        </w:rPr>
        <w:t>:</w:t>
      </w:r>
      <w:r w:rsidRPr="3DD7BC59">
        <w:rPr>
          <w:sz w:val="20"/>
          <w:szCs w:val="20"/>
          <w:lang w:val="en-GB"/>
        </w:rPr>
        <w:t xml:space="preserve"> statistically significant downregulation determined by Welch’s t-test. Exp</w:t>
      </w:r>
      <w:r>
        <w:rPr>
          <w:sz w:val="20"/>
          <w:szCs w:val="20"/>
          <w:lang w:val="en-GB"/>
        </w:rPr>
        <w:t>:</w:t>
      </w:r>
      <w:r w:rsidRPr="3DD7BC59">
        <w:rPr>
          <w:sz w:val="20"/>
          <w:szCs w:val="20"/>
          <w:lang w:val="en-GB"/>
        </w:rPr>
        <w:t xml:space="preserve"> experiment.</w:t>
      </w:r>
    </w:p>
    <w:p w14:paraId="0F7FB249" w14:textId="4308FE7C" w:rsidR="00912444" w:rsidRDefault="00912444" w:rsidP="00912444">
      <w:pPr>
        <w:spacing w:line="360" w:lineRule="auto"/>
        <w:jc w:val="both"/>
        <w:rPr>
          <w:sz w:val="20"/>
          <w:szCs w:val="20"/>
          <w:lang w:val="en-GB"/>
        </w:rPr>
      </w:pPr>
      <w:r>
        <w:rPr>
          <w:b/>
          <w:sz w:val="20"/>
          <w:szCs w:val="20"/>
          <w:lang w:val="en-GB"/>
        </w:rPr>
        <w:t>Fig. 3</w:t>
      </w:r>
      <w:r w:rsidRPr="4C455D9D">
        <w:rPr>
          <w:b/>
          <w:sz w:val="20"/>
          <w:szCs w:val="20"/>
          <w:lang w:val="en-GB"/>
        </w:rPr>
        <w:t xml:space="preserve">: Induction of plant responses is dependent on efficient </w:t>
      </w:r>
      <w:r w:rsidRPr="4C455D9D">
        <w:rPr>
          <w:b/>
          <w:i/>
          <w:sz w:val="20"/>
          <w:szCs w:val="20"/>
          <w:lang w:val="en-GB"/>
        </w:rPr>
        <w:t xml:space="preserve">B. subtilis </w:t>
      </w:r>
      <w:r w:rsidRPr="4C455D9D">
        <w:rPr>
          <w:b/>
          <w:sz w:val="20"/>
          <w:szCs w:val="20"/>
          <w:lang w:val="en-GB"/>
        </w:rPr>
        <w:t>biofilm formation on roots</w:t>
      </w:r>
      <w:r w:rsidRPr="4C455D9D">
        <w:rPr>
          <w:sz w:val="20"/>
          <w:szCs w:val="20"/>
          <w:lang w:val="en-GB"/>
        </w:rPr>
        <w:t xml:space="preserve">. A) Biofilm formation on potato roots after 26-h incubation with YFP-labelled </w:t>
      </w:r>
      <w:r w:rsidRPr="4C455D9D">
        <w:rPr>
          <w:i/>
          <w:sz w:val="20"/>
          <w:szCs w:val="20"/>
          <w:lang w:val="en-GB"/>
        </w:rPr>
        <w:t>B. subtilis</w:t>
      </w:r>
      <w:r w:rsidRPr="4C455D9D">
        <w:rPr>
          <w:sz w:val="20"/>
          <w:szCs w:val="20"/>
          <w:lang w:val="en-GB"/>
        </w:rPr>
        <w:t xml:space="preserve"> PS-216 (left), quorum sensing-negative </w:t>
      </w:r>
      <w:r w:rsidRPr="4C455D9D">
        <w:rPr>
          <w:i/>
          <w:sz w:val="20"/>
          <w:szCs w:val="20"/>
          <w:lang w:val="en-GB"/>
        </w:rPr>
        <w:t>B. subtilis</w:t>
      </w:r>
      <w:r w:rsidRPr="4C455D9D">
        <w:rPr>
          <w:sz w:val="20"/>
          <w:szCs w:val="20"/>
          <w:lang w:val="en-GB"/>
        </w:rPr>
        <w:t xml:space="preserve"> YFP-labelled mutant PS-216 Δ</w:t>
      </w:r>
      <w:r w:rsidRPr="4C455D9D">
        <w:rPr>
          <w:i/>
          <w:sz w:val="20"/>
          <w:szCs w:val="20"/>
          <w:lang w:val="en-GB"/>
        </w:rPr>
        <w:t xml:space="preserve">comQXP </w:t>
      </w:r>
      <w:r w:rsidRPr="4C455D9D">
        <w:rPr>
          <w:sz w:val="20"/>
          <w:szCs w:val="20"/>
          <w:lang w:val="en-GB"/>
        </w:rPr>
        <w:t xml:space="preserve">(middle) and PS-216 srfA mutant (right) culture.  Scale is 500 µm. B) Expression of selected genes (RBOHD, 13-LOX, CAB, PTI5) in non-inoculated potato roots and after 26-h incubation with </w:t>
      </w:r>
      <w:r w:rsidRPr="4C455D9D">
        <w:rPr>
          <w:i/>
          <w:sz w:val="20"/>
          <w:szCs w:val="20"/>
          <w:lang w:val="en-GB"/>
        </w:rPr>
        <w:t>B. subtilis</w:t>
      </w:r>
      <w:r w:rsidRPr="4C455D9D">
        <w:rPr>
          <w:sz w:val="20"/>
          <w:szCs w:val="20"/>
          <w:lang w:val="en-GB"/>
        </w:rPr>
        <w:t xml:space="preserve"> PS-216 YFP, PS-216 Δ</w:t>
      </w:r>
      <w:r w:rsidRPr="4C455D9D">
        <w:rPr>
          <w:i/>
          <w:sz w:val="20"/>
          <w:szCs w:val="20"/>
          <w:lang w:val="en-GB"/>
        </w:rPr>
        <w:t xml:space="preserve">comQXP </w:t>
      </w:r>
      <w:r w:rsidRPr="4C455D9D">
        <w:rPr>
          <w:sz w:val="20"/>
          <w:szCs w:val="20"/>
          <w:lang w:val="en-GB"/>
        </w:rPr>
        <w:t xml:space="preserve">YFP and PS-216 </w:t>
      </w:r>
      <w:r w:rsidRPr="4C455D9D">
        <w:rPr>
          <w:i/>
          <w:sz w:val="20"/>
          <w:szCs w:val="20"/>
          <w:lang w:val="en-GB"/>
        </w:rPr>
        <w:t>srfA</w:t>
      </w:r>
      <w:r w:rsidRPr="4C455D9D">
        <w:rPr>
          <w:sz w:val="20"/>
          <w:szCs w:val="20"/>
          <w:lang w:val="en-GB"/>
        </w:rPr>
        <w:t xml:space="preserve"> YFP</w:t>
      </w:r>
      <w:r w:rsidRPr="4C455D9D">
        <w:rPr>
          <w:i/>
          <w:sz w:val="20"/>
          <w:szCs w:val="20"/>
          <w:lang w:val="en-GB"/>
        </w:rPr>
        <w:t>.</w:t>
      </w:r>
      <w:r w:rsidRPr="4C455D9D">
        <w:rPr>
          <w:sz w:val="20"/>
          <w:szCs w:val="20"/>
          <w:lang w:val="en-GB"/>
        </w:rPr>
        <w:t xml:space="preserve"> Relative gene expression</w:t>
      </w:r>
      <w:r w:rsidRPr="4C455D9D">
        <w:rPr>
          <w:lang w:val="en-GB"/>
        </w:rPr>
        <w:t xml:space="preserve"> </w:t>
      </w:r>
      <w:r w:rsidRPr="4C455D9D">
        <w:rPr>
          <w:sz w:val="20"/>
          <w:szCs w:val="20"/>
          <w:lang w:val="en-GB"/>
        </w:rPr>
        <w:t xml:space="preserve">was scaled to the average gene expression of non-inoculated group. Welch's t-test was used to determine differences between groups. Individual measurements (circles), mean (squares) and standard error are shown. Asterisks (*) denote statistically significant difference (p-value &lt; 0.05). See </w:t>
      </w:r>
      <w:r>
        <w:rPr>
          <w:sz w:val="20"/>
          <w:szCs w:val="20"/>
          <w:lang w:val="en-GB"/>
        </w:rPr>
        <w:t>Table S2</w:t>
      </w:r>
      <w:r w:rsidRPr="4C455D9D">
        <w:rPr>
          <w:sz w:val="20"/>
          <w:szCs w:val="20"/>
          <w:lang w:val="en-GB"/>
        </w:rPr>
        <w:t xml:space="preserve"> for the results of all genes for both roots and shoots.</w:t>
      </w:r>
    </w:p>
    <w:p w14:paraId="45B4459B" w14:textId="3651CC84" w:rsidR="00912444" w:rsidRPr="008B504B" w:rsidRDefault="00912444" w:rsidP="00912444">
      <w:pPr>
        <w:spacing w:line="360" w:lineRule="auto"/>
        <w:jc w:val="both"/>
        <w:rPr>
          <w:sz w:val="20"/>
          <w:szCs w:val="20"/>
          <w:lang w:val="en-GB"/>
        </w:rPr>
      </w:pPr>
      <w:r>
        <w:rPr>
          <w:b/>
          <w:sz w:val="20"/>
          <w:szCs w:val="20"/>
          <w:lang w:val="en-GB"/>
        </w:rPr>
        <w:t>Fig. 6</w:t>
      </w:r>
      <w:r w:rsidRPr="008B504B">
        <w:rPr>
          <w:b/>
          <w:sz w:val="20"/>
          <w:szCs w:val="20"/>
          <w:lang w:val="en-GB"/>
        </w:rPr>
        <w:t xml:space="preserve">: Mycorrhizal colonization of potato roots in </w:t>
      </w:r>
      <w:bookmarkStart w:id="0" w:name="_Hlk193966907"/>
      <w:r w:rsidRPr="008B504B">
        <w:rPr>
          <w:b/>
          <w:sz w:val="20"/>
          <w:szCs w:val="20"/>
          <w:lang w:val="en-GB"/>
        </w:rPr>
        <w:t xml:space="preserve">non-transgenic </w:t>
      </w:r>
      <w:bookmarkEnd w:id="0"/>
      <w:r w:rsidRPr="008B504B">
        <w:rPr>
          <w:b/>
          <w:sz w:val="20"/>
          <w:szCs w:val="20"/>
          <w:lang w:val="en-GB"/>
        </w:rPr>
        <w:t>potato plant (NT) and PTI5</w:t>
      </w:r>
      <w:r>
        <w:rPr>
          <w:b/>
          <w:sz w:val="20"/>
          <w:szCs w:val="20"/>
          <w:lang w:val="en-GB"/>
        </w:rPr>
        <w:t>-</w:t>
      </w:r>
      <w:r w:rsidRPr="008B504B">
        <w:rPr>
          <w:b/>
          <w:sz w:val="20"/>
          <w:szCs w:val="20"/>
          <w:lang w:val="en-GB"/>
        </w:rPr>
        <w:t>silenced genotype (shPTI5).</w:t>
      </w:r>
      <w:r w:rsidRPr="008B504B">
        <w:rPr>
          <w:sz w:val="20"/>
          <w:szCs w:val="20"/>
          <w:lang w:val="en-GB"/>
        </w:rPr>
        <w:t xml:space="preserve"> A) Representative images of mycorrhizal colonization </w:t>
      </w:r>
      <w:r>
        <w:rPr>
          <w:sz w:val="20"/>
          <w:szCs w:val="20"/>
          <w:lang w:val="en-GB"/>
        </w:rPr>
        <w:t xml:space="preserve">by </w:t>
      </w:r>
      <w:r w:rsidRPr="00504000">
        <w:rPr>
          <w:i/>
          <w:lang w:val="en-GB"/>
        </w:rPr>
        <w:t>R</w:t>
      </w:r>
      <w:r>
        <w:rPr>
          <w:i/>
          <w:lang w:val="en-GB"/>
        </w:rPr>
        <w:t xml:space="preserve">. </w:t>
      </w:r>
      <w:r w:rsidRPr="008B504B">
        <w:rPr>
          <w:i/>
          <w:sz w:val="20"/>
          <w:szCs w:val="20"/>
          <w:lang w:val="en-GB"/>
        </w:rPr>
        <w:t>irregularis</w:t>
      </w:r>
      <w:r w:rsidRPr="008B504B">
        <w:rPr>
          <w:sz w:val="20"/>
          <w:szCs w:val="20"/>
          <w:lang w:val="en-GB"/>
        </w:rPr>
        <w:t xml:space="preserve"> in the different genotypes. Fungal structures within the root cortex of potato plants are stained in blue (a: arbuscules, v: vesicles). Scale is 200 µm. B) Percentage of root length colonized by the </w:t>
      </w:r>
      <w:bookmarkStart w:id="1" w:name="_Hlk195513887"/>
      <w:r w:rsidRPr="000E4423">
        <w:rPr>
          <w:sz w:val="20"/>
          <w:szCs w:val="20"/>
          <w:lang w:val="en-GB"/>
        </w:rPr>
        <w:t>arbuscular mycorrhizal fungi</w:t>
      </w:r>
      <w:r w:rsidRPr="008B504B">
        <w:rPr>
          <w:sz w:val="20"/>
          <w:szCs w:val="20"/>
          <w:lang w:val="en-GB"/>
        </w:rPr>
        <w:t xml:space="preserve"> </w:t>
      </w:r>
      <w:bookmarkEnd w:id="1"/>
      <w:r w:rsidRPr="008B504B">
        <w:rPr>
          <w:i/>
          <w:sz w:val="20"/>
          <w:szCs w:val="20"/>
          <w:lang w:val="en-GB"/>
        </w:rPr>
        <w:t xml:space="preserve">R. </w:t>
      </w:r>
      <w:r w:rsidRPr="008B504B">
        <w:rPr>
          <w:i/>
          <w:iCs/>
          <w:sz w:val="20"/>
          <w:szCs w:val="20"/>
          <w:lang w:val="en-GB"/>
        </w:rPr>
        <w:t>irregularis</w:t>
      </w:r>
      <w:r>
        <w:rPr>
          <w:sz w:val="20"/>
          <w:szCs w:val="20"/>
          <w:lang w:val="en-GB"/>
        </w:rPr>
        <w:t>.</w:t>
      </w:r>
      <w:r w:rsidRPr="008B504B">
        <w:rPr>
          <w:i/>
          <w:iCs/>
          <w:sz w:val="20"/>
          <w:szCs w:val="20"/>
          <w:lang w:val="en-GB"/>
        </w:rPr>
        <w:t xml:space="preserve"> </w:t>
      </w:r>
      <w:r w:rsidRPr="008B504B">
        <w:rPr>
          <w:sz w:val="20"/>
          <w:szCs w:val="20"/>
          <w:lang w:val="en-GB"/>
        </w:rPr>
        <w:t xml:space="preserve">C) Expression analysis of </w:t>
      </w:r>
      <w:r w:rsidRPr="008B504B">
        <w:rPr>
          <w:i/>
          <w:sz w:val="20"/>
          <w:szCs w:val="20"/>
          <w:lang w:val="en-GB"/>
        </w:rPr>
        <w:t>R. irregularis</w:t>
      </w:r>
      <w:r w:rsidRPr="008B504B">
        <w:rPr>
          <w:sz w:val="20"/>
          <w:szCs w:val="20"/>
          <w:lang w:val="en-GB"/>
        </w:rPr>
        <w:t xml:space="preserve"> constitutive gene (RiEF) and symbiosis marker genes</w:t>
      </w:r>
      <w:r>
        <w:rPr>
          <w:sz w:val="20"/>
          <w:szCs w:val="20"/>
          <w:lang w:val="en-GB"/>
        </w:rPr>
        <w:t>,</w:t>
      </w:r>
      <w:r w:rsidRPr="008B504B">
        <w:rPr>
          <w:sz w:val="20"/>
          <w:szCs w:val="20"/>
          <w:lang w:val="en-GB"/>
        </w:rPr>
        <w:t xml:space="preserve"> the </w:t>
      </w:r>
      <w:r w:rsidRPr="008B504B">
        <w:rPr>
          <w:i/>
          <w:sz w:val="20"/>
          <w:szCs w:val="20"/>
          <w:lang w:val="en-GB"/>
        </w:rPr>
        <w:t>R. irregularis</w:t>
      </w:r>
      <w:r w:rsidRPr="008B504B">
        <w:rPr>
          <w:sz w:val="20"/>
          <w:szCs w:val="20"/>
          <w:lang w:val="en-GB"/>
        </w:rPr>
        <w:t xml:space="preserve"> monosaccharide transporter (RiMST2) and the potato phosphate transporter (StPT4)</w:t>
      </w:r>
      <w:r>
        <w:rPr>
          <w:sz w:val="20"/>
          <w:szCs w:val="20"/>
          <w:lang w:val="en-GB"/>
        </w:rPr>
        <w:t xml:space="preserve">, </w:t>
      </w:r>
      <w:bookmarkStart w:id="2" w:name="_Hlk195513921"/>
      <w:r w:rsidRPr="00A66CD6">
        <w:rPr>
          <w:sz w:val="20"/>
          <w:szCs w:val="20"/>
          <w:lang w:val="en-GB"/>
        </w:rPr>
        <w:t xml:space="preserve">as well as </w:t>
      </w:r>
      <w:bookmarkEnd w:id="2"/>
      <w:r w:rsidRPr="00A66CD6">
        <w:rPr>
          <w:sz w:val="20"/>
          <w:szCs w:val="20"/>
          <w:lang w:val="en-GB"/>
        </w:rPr>
        <w:t xml:space="preserve">regression analysis using </w:t>
      </w:r>
      <w:r w:rsidRPr="008B504B">
        <w:rPr>
          <w:sz w:val="20"/>
          <w:szCs w:val="20"/>
          <w:lang w:val="en-GB"/>
        </w:rPr>
        <w:t>Dunn’s pairwise comparisons were used to determine the differences between the genotypes. Different letters show statistical differences.  Permutation test was used to determine the differences between the genotypes. Individual measurements (circles), mean (squares)</w:t>
      </w:r>
      <w:r>
        <w:rPr>
          <w:sz w:val="20"/>
          <w:szCs w:val="20"/>
          <w:lang w:val="en-GB"/>
        </w:rPr>
        <w:t xml:space="preserve"> </w:t>
      </w:r>
      <w:r w:rsidRPr="008B504B">
        <w:rPr>
          <w:sz w:val="20"/>
          <w:szCs w:val="20"/>
          <w:lang w:val="en-GB"/>
        </w:rPr>
        <w:t>and standard error are shown. Asterisks denote a statistically significant difference (*: p-value &lt; 0.05, **: p-value &lt; 0.01). The results of analysis of line L6 are shown and were confirmed on another transgenic line shPTI5 L2 (</w:t>
      </w:r>
      <w:r>
        <w:rPr>
          <w:sz w:val="20"/>
          <w:szCs w:val="20"/>
          <w:lang w:val="en-GB"/>
        </w:rPr>
        <w:t>Fig. S1</w:t>
      </w:r>
      <w:r w:rsidRPr="008B504B">
        <w:rPr>
          <w:sz w:val="20"/>
          <w:szCs w:val="20"/>
          <w:lang w:val="en-GB"/>
        </w:rPr>
        <w:t>0).</w:t>
      </w:r>
    </w:p>
    <w:p w14:paraId="76A7FEB0" w14:textId="77777777" w:rsidR="00EA24D1" w:rsidRDefault="00EA24D1"/>
    <w:sectPr w:rsidR="00EA24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3DE"/>
    <w:rsid w:val="000C433A"/>
    <w:rsid w:val="00302DBD"/>
    <w:rsid w:val="005424C4"/>
    <w:rsid w:val="00912444"/>
    <w:rsid w:val="00C143A5"/>
    <w:rsid w:val="00E203DE"/>
    <w:rsid w:val="00EA24D1"/>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FC3D8"/>
  <w15:chartTrackingRefBased/>
  <w15:docId w15:val="{D80F2063-65DA-4674-9240-1C7A4E266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444"/>
    <w:rPr>
      <w:kern w:val="0"/>
      <w14:ligatures w14:val="none"/>
    </w:rPr>
  </w:style>
  <w:style w:type="paragraph" w:styleId="Heading1">
    <w:name w:val="heading 1"/>
    <w:basedOn w:val="Normal"/>
    <w:next w:val="Normal"/>
    <w:link w:val="Heading1Char"/>
    <w:uiPriority w:val="9"/>
    <w:qFormat/>
    <w:rsid w:val="00E203DE"/>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203DE"/>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203DE"/>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203DE"/>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203DE"/>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203DE"/>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203DE"/>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203DE"/>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203DE"/>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3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3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3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3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3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3DE"/>
    <w:rPr>
      <w:rFonts w:eastAsiaTheme="majorEastAsia" w:cstheme="majorBidi"/>
      <w:color w:val="272727" w:themeColor="text1" w:themeTint="D8"/>
    </w:rPr>
  </w:style>
  <w:style w:type="paragraph" w:styleId="Title">
    <w:name w:val="Title"/>
    <w:basedOn w:val="Normal"/>
    <w:next w:val="Normal"/>
    <w:link w:val="TitleChar"/>
    <w:uiPriority w:val="10"/>
    <w:qFormat/>
    <w:rsid w:val="00E203D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20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3DE"/>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20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3DE"/>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E203DE"/>
    <w:rPr>
      <w:i/>
      <w:iCs/>
      <w:color w:val="404040" w:themeColor="text1" w:themeTint="BF"/>
    </w:rPr>
  </w:style>
  <w:style w:type="paragraph" w:styleId="ListParagraph">
    <w:name w:val="List Paragraph"/>
    <w:basedOn w:val="Normal"/>
    <w:uiPriority w:val="34"/>
    <w:qFormat/>
    <w:rsid w:val="00E203DE"/>
    <w:pPr>
      <w:ind w:left="720"/>
      <w:contextualSpacing/>
    </w:pPr>
    <w:rPr>
      <w:kern w:val="2"/>
      <w14:ligatures w14:val="standardContextual"/>
    </w:rPr>
  </w:style>
  <w:style w:type="character" w:styleId="IntenseEmphasis">
    <w:name w:val="Intense Emphasis"/>
    <w:basedOn w:val="DefaultParagraphFont"/>
    <w:uiPriority w:val="21"/>
    <w:qFormat/>
    <w:rsid w:val="00E203DE"/>
    <w:rPr>
      <w:i/>
      <w:iCs/>
      <w:color w:val="0F4761" w:themeColor="accent1" w:themeShade="BF"/>
    </w:rPr>
  </w:style>
  <w:style w:type="paragraph" w:styleId="IntenseQuote">
    <w:name w:val="Intense Quote"/>
    <w:basedOn w:val="Normal"/>
    <w:next w:val="Normal"/>
    <w:link w:val="IntenseQuoteChar"/>
    <w:uiPriority w:val="30"/>
    <w:qFormat/>
    <w:rsid w:val="00E20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203DE"/>
    <w:rPr>
      <w:i/>
      <w:iCs/>
      <w:color w:val="0F4761" w:themeColor="accent1" w:themeShade="BF"/>
    </w:rPr>
  </w:style>
  <w:style w:type="character" w:styleId="IntenseReference">
    <w:name w:val="Intense Reference"/>
    <w:basedOn w:val="DefaultParagraphFont"/>
    <w:uiPriority w:val="32"/>
    <w:qFormat/>
    <w:rsid w:val="00E203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528</Words>
  <Characters>3013</Characters>
  <Application>Microsoft Office Word</Application>
  <DocSecurity>0</DocSecurity>
  <Lines>25</Lines>
  <Paragraphs>7</Paragraphs>
  <ScaleCrop>false</ScaleCrop>
  <Company>NIB</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Maja Zagorščak</dc:creator>
  <cp:keywords/>
  <dc:description/>
  <cp:lastModifiedBy>Maja Zagorščak</cp:lastModifiedBy>
  <cp:revision>2</cp:revision>
  <dcterms:created xsi:type="dcterms:W3CDTF">2025-08-29T12:27:00Z</dcterms:created>
  <dcterms:modified xsi:type="dcterms:W3CDTF">2025-08-29T12:29:00Z</dcterms:modified>
</cp:coreProperties>
</file>