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Open Sans" w:cs="Open Sans" w:eastAsia="Open Sans" w:hAnsi="Open Sans"/>
          <w:b/>
          <w:bCs/>
          <w:color w:val="000000"/>
          <w:sz w:val="30"/>
          <w:szCs w:val="30"/>
        </w:rPr>
        <w:t xml:space="preserve">Module Descriptor</w:t>
      </w:r>
    </w:p>
    <w:p>
      <w:pPr>
        <w:pBdr>
          <w:bottom w:val="single" w:color="595959" w:sz="8" w:space="6"/>
        </w:pBdr>
        <w:spacing w:after="200" w:before="0"/>
      </w:pPr>
      <w:r>
        <w:rPr>
          <w:rFonts w:ascii="Open Sans" w:cs="Open Sans" w:eastAsia="Open Sans" w:hAnsi="Open Sans"/>
          <w:b/>
          <w:bCs/>
          <w:color w:val="595959"/>
          <w:sz w:val="34"/>
          <w:szCs w:val="34"/>
        </w:rPr>
        <w:t xml:space="preserve">Intelligent Systems Foundations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code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NB-SOCE-L3-AD-TT-02</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Category</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Pathway module, taught</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Programme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BSc Computer Science with Artificial Intelligence and Data Science</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Status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Draft for review, version 1.0</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Sources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School curriculum decision records; Sri Lanka Qualifications Framework (September 2015 edition, University Grants Commission); partner university module descriptors</w:t>
            </w:r>
          </w:p>
        </w:tc>
      </w:tr>
    </w:tbl>
    <w:p>
      <w:pPr>
        <w:spacing w:after="120" w:before="240"/>
      </w:pPr>
      <w:r>
        <w:rPr>
          <w:rFonts w:ascii="Open Sans" w:cs="Open Sans" w:eastAsia="Open Sans" w:hAnsi="Open Sans"/>
          <w:b/>
          <w:bCs/>
          <w:color w:val="000000"/>
          <w:sz w:val="24"/>
          <w:szCs w:val="24"/>
        </w:rPr>
        <w:t xml:space="preserve">1. Module Identity and Architecture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title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Intelligent Systems Foundations</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SLQF level and credits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Level 3 (Year 1); 3 credits; 150 notional hours</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Feeder targets</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NB5010CEM Artificial Intelligence (Data Science destination, Level 5). Robots and Intelligent Agents (Artificial Intelligence destination, Level 6). The module also supplies the early grounding for the artificial-intelligence destination, which carries no Level 5 artificial-intelligence module; that grounding is seeded here and delivered at depth in Year 2 by Intelligent Systems and Reasoning and Applied Artificial Intelligence.</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Prerequisites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Programming Concepts, for implementation capability. Algorithmic Thinking, for problem decomposition, search and sorting concepts and complexity intuition. Mathematical Thinking, for the sets, relations and functions that underpin knowledge representation. Digital Electronics and Logic Design, for the Boolean-logic substrate, integrative rather than assessed.</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Delivery mode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Session-based delivery in 3-hour blocks; 16 lecture sessions plus tutorials, practicals and demonstration</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Progression role</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Inbound bridging module, scheduling-flexible relative to the Mathematics for Intelligent Systems gate.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Exit-award relevance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Distinctive artificial-intelligence foundations competency in the pathway profile at Diploma level. Exit-award requirements remain subject to change and additional requirements may be introduced by the accrediting authority; the specification remains adaptable.</w:t>
            </w:r>
          </w:p>
        </w:tc>
      </w:tr>
    </w:tbl>
    <w:p>
      <w:pPr>
        <w:spacing w:after="120" w:before="240"/>
      </w:pPr>
      <w:r>
        <w:rPr>
          <w:rFonts w:ascii="Open Sans" w:cs="Open Sans" w:eastAsia="Open Sans" w:hAnsi="Open Sans"/>
          <w:b/>
          <w:bCs/>
          <w:color w:val="000000"/>
          <w:sz w:val="24"/>
          <w:szCs w:val="24"/>
        </w:rPr>
        <w:t xml:space="preserve">2. Module Purpose and Aims</w:t>
      </w:r>
    </w:p>
    <w:p>
      <w:pPr>
        <w:spacing w:after="80" w:before="80"/>
      </w:pPr>
      <w:r>
        <w:rPr>
          <w:rFonts w:ascii="Open Sans" w:cs="Open Sans" w:eastAsia="Open Sans" w:hAnsi="Open Sans"/>
          <w:b w:val="false"/>
          <w:bCs w:val="false"/>
          <w:i w:val="false"/>
          <w:iCs w:val="false"/>
          <w:color w:val="000000"/>
          <w:sz w:val="20"/>
          <w:szCs w:val="20"/>
        </w:rPr>
        <w:t xml:space="preserve">This module gives the pathway its first substantive contact with artificial intelligence as a discipline rather than as a label. It establishes what makes a system intelligent in the technical sense, introduces the two classical instruments the field is built on, search and knowledge representation, and installs the intelligent-agent model as the frame that Year 2 then fills in.</w:t>
      </w:r>
    </w:p>
    <w:p>
      <w:pPr>
        <w:spacing w:after="80" w:before="80"/>
      </w:pPr>
      <w:r>
        <w:rPr>
          <w:rFonts w:ascii="Open Sans" w:cs="Open Sans" w:eastAsia="Open Sans" w:hAnsi="Open Sans"/>
          <w:b w:val="false"/>
          <w:bCs w:val="false"/>
          <w:i w:val="false"/>
          <w:iCs w:val="false"/>
          <w:color w:val="000000"/>
          <w:sz w:val="20"/>
          <w:szCs w:val="20"/>
        </w:rPr>
        <w:t xml:space="preserve">Its position is stated honestly. At 3 credits and 48 lecture hours the module seeds rather than owns: the depth owners of these claims are the Year 2 modules. What the module must not do is thin the seeding to the point where the artificial-intelligence destination inherits a student with no grounding, since that destination has no Level 5 module to compensate. The syllabus is weighted toward search and knowledge representation for that reason, with the agent model carried as the closing frame rather than as an extended treatment.</w:t>
      </w:r>
    </w:p>
    <w:p>
      <w:pPr>
        <w:spacing w:after="80" w:before="160"/>
      </w:pPr>
      <w:r>
        <w:rPr>
          <w:rFonts w:ascii="Open Sans" w:cs="Open Sans" w:eastAsia="Open Sans" w:hAnsi="Open Sans"/>
          <w:b/>
          <w:bCs/>
          <w:i w:val="false"/>
          <w:iCs w:val="false"/>
          <w:color w:val="000000"/>
          <w:sz w:val="20"/>
          <w:szCs w:val="20"/>
        </w:rPr>
        <w:t xml:space="preserve">Specification boundary</w:t>
      </w:r>
    </w:p>
    <w:tbl>
      <w:tblPr>
        <w:tblW w:type="dxa" w:w="9000"/>
        <w:tblBorders>
          <w:top w:val="none" w:color="FFFFFF" w:sz="0"/>
          <w:left w:val="single" w:color="595959" w:sz="18"/>
          <w:bottom w:val="none" w:color="FFFFFF" w:sz="0"/>
          <w:right w:val="none" w:color="FFFFFF" w:sz="0"/>
          <w:insideH w:val="none" w:color="FFFFFF" w:sz="0"/>
          <w:insideV w:val="none" w:color="FFFFFF" w:sz="0"/>
        </w:tblBorders>
      </w:tblPr>
      <w:tblGrid>
        <w:gridCol w:w="9000"/>
      </w:tblGrid>
      <w:tr>
        <w:tc>
          <w:tcPr>
            <w:tcW w:type="dxa" w:w="9000"/>
            <w:shd w:fill="F7F7F7" w:color="auto" w:val="clear"/>
            <w:tcMar>
              <w:top w:type="dxa" w:w="140"/>
              <w:left w:type="dxa" w:w="200"/>
              <w:bottom w:type="dxa" w:w="140"/>
              <w:right w:type="dxa" w:w="160"/>
            </w:tcMar>
          </w:tcPr>
          <w:p>
            <w:pPr>
              <w:spacing w:after="40" w:before="40"/>
            </w:pPr>
            <w:r>
              <w:rPr>
                <w:rFonts w:ascii="Open Sans" w:cs="Open Sans" w:eastAsia="Open Sans" w:hAnsi="Open Sans"/>
                <w:b/>
                <w:bCs/>
                <w:sz w:val="18"/>
                <w:szCs w:val="18"/>
              </w:rPr>
              <w:t xml:space="preserve">Covers: </w:t>
            </w:r>
            <w:r>
              <w:rPr>
                <w:rFonts w:ascii="Open Sans" w:cs="Open Sans" w:eastAsia="Open Sans" w:hAnsi="Open Sans"/>
                <w:i w:val="false"/>
                <w:iCs w:val="false"/>
                <w:sz w:val="18"/>
                <w:szCs w:val="18"/>
              </w:rPr>
              <w:t xml:space="preserve">foundations of intelligent systems; computational thinking oriented to artificial intelligence; introduction to search and knowledge representation, building on the sets, relations and functions supplied by Mathematical Thinking without re-teaching them; the intelligent-agent concept.</w:t>
            </w:r>
          </w:p>
          <w:p>
            <w:pPr>
              <w:spacing w:after="40" w:before="40"/>
            </w:pPr>
            <w:r>
              <w:rPr>
                <w:rFonts w:ascii="Open Sans" w:cs="Open Sans" w:eastAsia="Open Sans" w:hAnsi="Open Sans"/>
                <w:b/>
                <w:bCs/>
                <w:sz w:val="18"/>
                <w:szCs w:val="18"/>
              </w:rPr>
              <w:t xml:space="preserve">Does not cover: </w:t>
            </w:r>
            <w:r>
              <w:rPr>
                <w:rFonts w:ascii="Open Sans" w:cs="Open Sans" w:eastAsia="Open Sans" w:hAnsi="Open Sans"/>
                <w:i w:val="false"/>
                <w:iCs w:val="false"/>
                <w:sz w:val="18"/>
                <w:szCs w:val="18"/>
              </w:rPr>
              <w:t xml:space="preserve">deep learning, which is covered by Applied Artificial Intelligence; symbolic reasoning and agent depth, which are covered by Intelligent Systems and Reasoning; search and knowledge-representation practice depth, which is re-exercised in Intelligent Systems and Reasoning.</w:t>
            </w:r>
          </w:p>
          <w:p>
            <w:pPr>
              <w:spacing w:after="40" w:before="40"/>
            </w:pPr>
            <w:r>
              <w:rPr>
                <w:rFonts w:ascii="Open Sans" w:cs="Open Sans" w:eastAsia="Open Sans" w:hAnsi="Open Sans"/>
                <w:b/>
                <w:bCs/>
                <w:sz w:val="18"/>
                <w:szCs w:val="18"/>
              </w:rPr>
              <w:t xml:space="preserve"/>
            </w:r>
            <w:r>
              <w:rPr>
                <w:rFonts w:ascii="Open Sans" w:cs="Open Sans" w:eastAsia="Open Sans" w:hAnsi="Open Sans"/>
                <w:i/>
                <w:iCs/>
                <w:sz w:val="18"/>
                <w:szCs w:val="18"/>
              </w:rPr>
              <w:t xml:space="preserve">Changes to this boundary are made only through the School’s formal change-control process, not by amendment of this descriptor.</w:t>
            </w:r>
          </w:p>
        </w:tc>
      </w:tr>
    </w:tbl>
    <w:p>
      <w:pPr>
        <w:spacing w:after="120" w:before="240"/>
      </w:pPr>
      <w:r>
        <w:rPr>
          <w:rFonts w:ascii="Open Sans" w:cs="Open Sans" w:eastAsia="Open Sans" w:hAnsi="Open Sans"/>
          <w:b/>
          <w:bCs/>
          <w:color w:val="000000"/>
          <w:sz w:val="24"/>
          <w:szCs w:val="24"/>
        </w:rPr>
        <w:t xml:space="preserve">3. Learning Outcomes</w:t>
      </w:r>
    </w:p>
    <w:p>
      <w:pPr>
        <w:spacing w:after="80" w:before="80"/>
      </w:pPr>
      <w:r>
        <w:rPr>
          <w:rFonts w:ascii="Open Sans" w:cs="Open Sans" w:eastAsia="Open Sans" w:hAnsi="Open Sans"/>
          <w:b w:val="false"/>
          <w:bCs w:val="false"/>
          <w:i w:val="false"/>
          <w:iCs w:val="false"/>
          <w:color w:val="000000"/>
          <w:sz w:val="20"/>
          <w:szCs w:val="20"/>
        </w:rPr>
        <w:t xml:space="preserve">On successful completion of this module, a student will be able to: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100"/>
        <w:gridCol w:w="22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Ref</w:t>
            </w:r>
          </w:p>
        </w:tc>
        <w:tc>
          <w:tcPr>
            <w:tcW w:type="dxa" w:w="61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Intended learning outcome</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Level of learning</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Explain what characterises an intelligent system and locate the agent view within that account.</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Understand</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LO2</w:t>
            </w:r>
          </w:p>
        </w:tc>
        <w:tc>
          <w:tcPr>
            <w:tcW w:type="dxa" w:w="61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 introductory search and knowledge-representation techniques to defined problems, in written form and in code.</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LO3</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Describe the intelligent-agent model and its components, and interpret the behaviour of a simple agent in a stated environment.</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Understand and interpret</w:t>
            </w:r>
          </w:p>
        </w:tc>
      </w:tr>
    </w:tbl>
    <w:p>
      <w:pPr>
        <w:spacing w:after="120" w:before="240"/>
      </w:pPr>
      <w:r>
        <w:rPr>
          <w:rFonts w:ascii="Open Sans" w:cs="Open Sans" w:eastAsia="Open Sans" w:hAnsi="Open Sans"/>
          <w:b/>
          <w:bCs/>
          <w:color w:val="000000"/>
          <w:sz w:val="24"/>
          <w:szCs w:val="24"/>
        </w:rPr>
        <w:t xml:space="preserve">4. Curriculum and Delivery</w:t>
      </w:r>
    </w:p>
    <w:p>
      <w:pPr>
        <w:spacing w:after="80" w:before="80"/>
      </w:pPr>
      <w:r>
        <w:rPr>
          <w:rFonts w:ascii="Open Sans" w:cs="Open Sans" w:eastAsia="Open Sans" w:hAnsi="Open Sans"/>
          <w:b/>
          <w:bCs/>
          <w:i w:val="false"/>
          <w:iCs w:val="false"/>
          <w:color w:val="000000"/>
          <w:sz w:val="20"/>
          <w:szCs w:val="20"/>
        </w:rPr>
        <w:t xml:space="preserve">Indicative syllabus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800"/>
        <w:gridCol w:w="15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Unit</w:t>
            </w:r>
          </w:p>
        </w:tc>
        <w:tc>
          <w:tcPr>
            <w:tcW w:type="dxa" w:w="6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Content</w:t>
            </w:r>
          </w:p>
        </w:tc>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Lecture hours</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U1</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What characterises an intelligent system: the scope of the discipline, the rational-behaviour account, task environments, and the honest limits of the field</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U2</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Computational thinking oriented to artificial intelligence: formulating a problem as states, actions, goals and costs</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U3</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Introduction to search: uninformed strategies (breadth-first, depth-first, uniform-cost), informed strategies (greedy, A*), and heuristics with admissibility read intuitively</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15</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U4</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Introduction to knowledge representation: facts, rules and inference; representation using sets, relations and functions; rule-based systems and semantic-network style representations</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U5</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The intelligent-agent concept: percepts, actions, agent function and agent programme; simple agent types and the environment properties that distinguish them</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7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
            </w:r>
          </w:p>
        </w:tc>
        <w:tc>
          <w:tcPr>
            <w:tcW w:type="dxa" w:w="68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lecture hours</w:t>
            </w:r>
          </w:p>
        </w:tc>
        <w:tc>
          <w:tcPr>
            <w:tcW w:type="dxa" w:w="15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48</w:t>
            </w:r>
          </w:p>
        </w:tc>
      </w:tr>
    </w:tbl>
    <w:p>
      <w:pPr>
        <w:spacing w:after="80" w:before="80"/>
      </w:pPr>
      <w:r>
        <w:rPr>
          <w:rFonts w:ascii="Open Sans" w:cs="Open Sans" w:eastAsia="Open Sans" w:hAnsi="Open Sans"/>
          <w:b w:val="false"/>
          <w:bCs w:val="false"/>
          <w:i w:val="false"/>
          <w:iCs w:val="false"/>
          <w:color w:val="000000"/>
          <w:sz w:val="20"/>
          <w:szCs w:val="20"/>
        </w:rPr>
        <w:t xml:space="preserve">Session note: the 48 lecture hours are delivered as 16 sessions of 3 hours, with unit allocations in multiples of 3 so that unit boundaries fall on session boundaries. The 24-hour practical and laboratory allocation is where units 3 and 4 become competence rather than acquaintance.</w:t>
      </w:r>
    </w:p>
    <w:p>
      <w:pPr>
        <w:spacing w:after="80" w:before="80"/>
      </w:pPr>
      <w:r>
        <w:rPr>
          <w:rFonts w:ascii="Open Sans" w:cs="Open Sans" w:eastAsia="Open Sans" w:hAnsi="Open Sans"/>
          <w:b w:val="false"/>
          <w:bCs w:val="false"/>
          <w:i w:val="false"/>
          <w:iCs w:val="false"/>
          <w:color w:val="000000"/>
          <w:sz w:val="20"/>
          <w:szCs w:val="20"/>
        </w:rPr>
        <w:t xml:space="preserve">Level of practical work: outcome LO2 carries an implementation verb. At Level 3 the framework expects the demonstration of transferable skills related to information and communications technology, and the implementation required here is bounded to running and modifying supplied search and representation code on defined problems. It is not independent system construction and it does not claim the analytical demand of Level 4.</w:t>
      </w:r>
    </w:p>
    <w:p>
      <w:pPr>
        <w:spacing w:after="80" w:before="80"/>
      </w:pPr>
      <w:r>
        <w:rPr>
          <w:rFonts w:ascii="Open Sans" w:cs="Open Sans" w:eastAsia="Open Sans" w:hAnsi="Open Sans"/>
          <w:b w:val="false"/>
          <w:bCs w:val="false"/>
          <w:i w:val="false"/>
          <w:iCs w:val="false"/>
          <w:color w:val="000000"/>
          <w:sz w:val="20"/>
          <w:szCs w:val="20"/>
        </w:rPr>
        <w:t xml:space="preserve">Working-language note: laboratory work is in Python, the pathway working language, continuing directly from Programming Concepts. No language transition occurs for this cohort.</w:t>
      </w:r>
    </w:p>
    <w:p>
      <w:pPr>
        <w:spacing w:after="80" w:before="160"/>
      </w:pPr>
      <w:r>
        <w:rPr>
          <w:rFonts w:ascii="Open Sans" w:cs="Open Sans" w:eastAsia="Open Sans" w:hAnsi="Open Sans"/>
          <w:b/>
          <w:bCs/>
          <w:i w:val="false"/>
          <w:iCs w:val="false"/>
          <w:color w:val="000000"/>
          <w:sz w:val="20"/>
          <w:szCs w:val="20"/>
        </w:rPr>
        <w:t xml:space="preserve">Teaching and learning hours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6600"/>
        <w:gridCol w:w="2400"/>
      </w:tblGrid>
      <w:tr>
        <w:trPr>
          <w:tblHeader/>
        </w:trPr>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Hours</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Lectures</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48</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Tutorials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Practicals and laboratory</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24</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In-class assignments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Demonstration</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Self-guided study</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54</w:t>
            </w:r>
          </w:p>
        </w:tc>
      </w:tr>
      <w:tr>
        <w:tc>
          <w:tcPr>
            <w:tcW w:type="dxa" w:w="66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notional hours</w:t>
            </w:r>
          </w:p>
        </w:tc>
        <w:tc>
          <w:tcPr>
            <w:tcW w:type="dxa" w:w="24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150</w:t>
            </w:r>
          </w:p>
        </w:tc>
      </w:tr>
    </w:tbl>
    <w:p>
      <w:pPr>
        <w:spacing w:after="120" w:before="240"/>
      </w:pPr>
      <w:r>
        <w:rPr>
          <w:rFonts w:ascii="Open Sans" w:cs="Open Sans" w:eastAsia="Open Sans" w:hAnsi="Open Sans"/>
          <w:b/>
          <w:bCs/>
          <w:color w:val="000000"/>
          <w:sz w:val="24"/>
          <w:szCs w:val="24"/>
        </w:rPr>
        <w:t xml:space="preserve">5. Assessment</w:t>
      </w:r>
    </w:p>
    <w:p>
      <w:pPr>
        <w:spacing w:after="80" w:before="80"/>
      </w:pPr>
      <w:r>
        <w:rPr>
          <w:rFonts w:ascii="Open Sans" w:cs="Open Sans" w:eastAsia="Open Sans" w:hAnsi="Open Sans"/>
          <w:b w:val="false"/>
          <w:bCs w:val="false"/>
          <w:i w:val="false"/>
          <w:iCs w:val="false"/>
          <w:color w:val="000000"/>
          <w:sz w:val="20"/>
          <w:szCs w:val="20"/>
        </w:rPr>
        <w:t xml:space="preserve">Weightings are stated below and are confirmed at specification 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500"/>
        <w:gridCol w:w="3600"/>
        <w:gridCol w:w="2200"/>
        <w:gridCol w:w="900"/>
        <w:gridCol w:w="800"/>
      </w:tblGrid>
      <w:tr>
        <w:trPr>
          <w:tblHeader/>
        </w:trPr>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3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Task</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Conditions</w:t>
            </w:r>
          </w:p>
        </w:tc>
        <w:tc>
          <w:tcPr>
            <w:tcW w:type="dxa" w:w="9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Outcomes</w:t>
            </w:r>
          </w:p>
        </w:tc>
        <w:tc>
          <w:tcPr>
            <w:tcW w:type="dxa" w:w="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Weight</w:t>
            </w:r>
          </w:p>
        </w:tc>
      </w:tr>
      <w:tr>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w:t>
            </w:r>
          </w:p>
        </w:tc>
        <w:tc>
          <w:tcPr>
            <w:tcW w:type="dxa" w:w="3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Released brief: formulate a stated problem as a state space, implement and compare two search strategies on it using supplied code scaffolding, and represent a small knowledge base with a short written account of what the representation makes easy and what it makes hard. Submitted as code plus a report of approximately 1,500 words</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take-home; graded; Viva/Presentation: presentation of 10 minutes at demonstration, on the student’s own submission</w:t>
            </w:r>
          </w:p>
        </w:tc>
        <w:tc>
          <w:tcPr>
            <w:tcW w:type="dxa" w:w="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LO3</w:t>
            </w:r>
          </w:p>
        </w:tc>
        <w:tc>
          <w:tcPr>
            <w:tcW w:type="dxa" w:w="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60%</w:t>
            </w:r>
          </w:p>
        </w:tc>
      </w:tr>
      <w:tr>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 (in-class)</w:t>
            </w:r>
          </w:p>
        </w:tc>
        <w:tc>
          <w:tcPr>
            <w:tcW w:type="dxa" w:w="3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Supervised open-resource applied test covering search strategies, heuristics, representation choices and the agent model</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supervised; graded; Viva/Presentation: none</w:t>
            </w:r>
          </w:p>
        </w:tc>
        <w:tc>
          <w:tcPr>
            <w:tcW w:type="dxa" w:w="9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LO3</w:t>
            </w:r>
          </w:p>
        </w:tc>
        <w:tc>
          <w:tcPr>
            <w:tcW w:type="dxa" w:w="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40%</w:t>
            </w:r>
          </w:p>
        </w:tc>
      </w:tr>
    </w:tbl>
    <w:p>
      <w:pPr>
        <w:spacing w:after="80" w:before="80"/>
      </w:pPr>
      <w:r>
        <w:rPr>
          <w:rFonts w:ascii="Open Sans" w:cs="Open Sans" w:eastAsia="Open Sans" w:hAnsi="Open Sans"/>
          <w:b w:val="false"/>
          <w:bCs w:val="false"/>
          <w:i w:val="false"/>
          <w:iCs w:val="false"/>
          <w:color w:val="000000"/>
          <w:sz w:val="20"/>
          <w:szCs w:val="20"/>
        </w:rPr>
        <w:t xml:space="preserve">No examination is carried by design. The assessable capability is the formulation and implementation of search and representation on defined problems, which the supervised in-class test evidences under constraint without an unseen closed-resource paper. The presentation attached to the coursework is the individual-accountability mechanism and confirms that the submitted code and reasoning are the student’s own.</w:t>
      </w:r>
    </w:p>
    <w:p>
      <w:pPr>
        <w:spacing w:after="80" w:before="80"/>
      </w:pPr>
      <w:r>
        <w:rPr>
          <w:rFonts w:ascii="Open Sans" w:cs="Open Sans" w:eastAsia="Open Sans" w:hAnsi="Open Sans"/>
          <w:b w:val="false"/>
          <w:bCs w:val="false"/>
          <w:i w:val="false"/>
          <w:iCs w:val="false"/>
          <w:color w:val="000000"/>
          <w:sz w:val="20"/>
          <w:szCs w:val="20"/>
        </w:rPr>
        <w:t xml:space="preserve">Reassessment is by failed component. The coursework is an open-resource task in which generative-artificial-intelligence assistance must be declared; the presentation is the point at which authorship is tested, and a student who cannot account for their own submission cannot pass the component.</w:t>
      </w:r>
    </w:p>
    <w:p>
      <w:pPr>
        <w:spacing w:after="120" w:before="240"/>
      </w:pPr>
      <w:r>
        <w:rPr>
          <w:rFonts w:ascii="Open Sans" w:cs="Open Sans" w:eastAsia="Open Sans" w:hAnsi="Open Sans"/>
          <w:b/>
          <w:bCs/>
          <w:color w:val="000000"/>
          <w:sz w:val="24"/>
          <w:szCs w:val="24"/>
        </w:rPr>
        <w:t xml:space="preserve">6. Resources, Staff and Governance</w:t>
      </w:r>
    </w:p>
    <w:p>
      <w:pPr>
        <w:spacing w:after="80" w:before="80"/>
      </w:pPr>
      <w:r>
        <w:rPr>
          <w:rFonts w:ascii="Open Sans" w:cs="Open Sans" w:eastAsia="Open Sans" w:hAnsi="Open Sans"/>
          <w:b/>
          <w:bCs/>
          <w:i w:val="false"/>
          <w:iCs w:val="false"/>
          <w:color w:val="000000"/>
          <w:sz w:val="20"/>
          <w:szCs w:val="20"/>
        </w:rPr>
        <w:t xml:space="preserve">Indicative reading</w:t>
      </w:r>
    </w:p>
    <w:p>
      <w:pPr>
        <w:spacing w:after="60" w:before="60"/>
        <w:ind w:left="300" w:hanging="300"/>
      </w:pPr>
      <w:r>
        <w:rPr>
          <w:rFonts w:ascii="Open Sans" w:cs="Open Sans" w:eastAsia="Open Sans" w:hAnsi="Open Sans"/>
          <w:b/>
          <w:bCs/>
          <w:sz w:val="18"/>
          <w:szCs w:val="18"/>
        </w:rPr>
        <w:t xml:space="preserve">Core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Russell, S. J. and Norvig, P. (2021) Artificial Intelligence: A Modern Approach. 4th edition. Pearson. Primary text; chapters on intelligent agents, problem solving by search, and knowledge representation.</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Poole, D. L. and Mackworth, A. K. (2023) Artificial Intelligence: Foundations of Computational Agents. 3rd edition. Cambridge University Press. ISBN 978-1-009-25819-7. Second text, adopted for its agent-design framing, which matches the closing unit. The full text is available free at artint.info and the accompanying implementations are in Python, which the pathway working language supports without adaptation.</w:t>
      </w:r>
    </w:p>
    <w:p>
      <w:pPr>
        <w:spacing w:after="60" w:before="60"/>
        <w:ind w:left="300" w:hanging="300"/>
      </w:pPr>
      <w:r>
        <w:rPr>
          <w:rFonts w:ascii="Open Sans" w:cs="Open Sans" w:eastAsia="Open Sans" w:hAnsi="Open Sans"/>
          <w:b/>
          <w:bCs/>
          <w:sz w:val="18"/>
          <w:szCs w:val="18"/>
        </w:rPr>
        <w:t xml:space="preserve">Supplementary open courseware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MIT OpenCourseWare, 6.034 Artificial Intelligence, Fall 2010 (P. H. Winston), Massachusetts Institute of Technology. Directed self-guided consolidation for units 3 and 4, covering goal trees, rule-based systems and the search sequence. Dependency: the programming assignments are Python-based and optional here. The set text of that course is a 1992 edition which this module does not adopt; the lectures are cited, the dated text is not.</w:t>
      </w:r>
    </w:p>
    <w:p>
      <w:pPr>
        <w:spacing w:after="60" w:before="60"/>
        <w:ind w:left="300" w:hanging="300"/>
      </w:pPr>
      <w:r>
        <w:rPr>
          <w:rFonts w:ascii="Open Sans" w:cs="Open Sans" w:eastAsia="Open Sans" w:hAnsi="Open Sans"/>
          <w:b/>
          <w:bCs/>
          <w:sz w:val="18"/>
          <w:szCs w:val="18"/>
        </w:rPr>
        <w:t xml:space="preserve">School-produced</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Laboratory worksheets with search-code scaffolding and a small knowledge-base exercise set. Confirmed at teaching-plan stage.</w:t>
      </w:r>
    </w:p>
    <w:p>
      <w:pPr>
        <w:spacing w:after="60" w:before="60"/>
        <w:ind w:left="300" w:hanging="300"/>
      </w:pPr>
      <w:r>
        <w:rPr>
          <w:rFonts w:ascii="Open Sans" w:cs="Open Sans" w:eastAsia="Open Sans" w:hAnsi="Open Sans"/>
          <w:b/>
          <w:bCs/>
          <w:sz w:val="18"/>
          <w:szCs w:val="18"/>
        </w:rPr>
        <w:t xml:space="preserve">Licensing note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MIT OpenCourseWare materials are published under a Creative Commons Attribution-NonCommercial-ShareAlike licence and are cited as directed study resources accessed at source. Any incorporation into School-produced materials requires attribution and share-alike compliance, confirmed at teaching-plan stage.</w:t>
      </w:r>
    </w:p>
    <w:p>
      <w:pPr>
        <w:spacing w:after="80" w:before="200"/>
      </w:pPr>
      <w:r>
        <w:rPr>
          <w:rFonts w:ascii="Open Sans" w:cs="Open Sans" w:eastAsia="Open Sans" w:hAnsi="Open Sans"/>
          <w:b/>
          <w:bCs/>
          <w:i w:val="false"/>
          <w:iCs w:val="false"/>
          <w:color w:val="000000"/>
          <w:sz w:val="20"/>
          <w:szCs w:val="20"/>
        </w:rPr>
        <w:t xml:space="preserve">Staffing</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3000"/>
        <w:gridCol w:w="3000"/>
      </w:tblGrid>
      <w:tr>
        <w:trPr>
          <w:tblHeader/>
        </w:trPr>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Role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Name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Domain credential</w:t>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1</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2</w:t>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External module auditor</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bl>
    <w:p>
      <w:pPr>
        <w:spacing w:after="80" w:before="140"/>
      </w:pPr>
      <w:r>
        <w:rPr>
          <w:rFonts w:ascii="Open Sans" w:cs="Open Sans" w:eastAsia="Open Sans" w:hAnsi="Open Sans"/>
          <w:b w:val="false"/>
          <w:bCs w:val="false"/>
          <w:i w:val="false"/>
          <w:iCs w:val="false"/>
          <w:color w:val="000000"/>
          <w:sz w:val="20"/>
          <w:szCs w:val="20"/>
        </w:rPr>
        <w:t xml:space="preserve">Domain-expertise statement: delivery requires artificial-intelligence subject expertise, specifically in search and knowledge representation. This module seeds a destination that has no Level 5 artificial-intelligence module to compensate for weak grounding, so generic computing delivery is not compliant.</w:t>
      </w:r>
    </w:p>
    <w:p>
      <w:pPr>
        <w:spacing w:after="80" w:before="200"/>
      </w:pPr>
      <w:r>
        <w:rPr>
          <w:rFonts w:ascii="Open Sans" w:cs="Open Sans" w:eastAsia="Open Sans" w:hAnsi="Open Sans"/>
          <w:b/>
          <w:bCs/>
          <w:i w:val="false"/>
          <w:iCs w:val="false"/>
          <w:color w:val="000000"/>
          <w:sz w:val="20"/>
          <w:szCs w:val="20"/>
        </w:rPr>
        <w:t xml:space="preserve">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2600"/>
        <w:gridCol w:w="4600"/>
      </w:tblGrid>
      <w:tr>
        <w:trPr>
          <w:tblHeader/>
        </w:trPr>
        <w:tc>
          <w:tcPr>
            <w:tcW w:type="dxa" w:w="1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Version</w:t>
            </w:r>
          </w:p>
        </w:tc>
        <w:tc>
          <w:tcPr>
            <w:tcW w:type="dxa" w:w="2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Date</w:t>
            </w:r>
          </w:p>
        </w:tc>
        <w:tc>
          <w:tcPr>
            <w:tcW w:type="dxa" w:w="4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Status</w:t>
            </w:r>
          </w:p>
        </w:tc>
      </w:tr>
      <w:tr>
        <w:tc>
          <w:tcPr>
            <w:tcW w:type="dxa" w:w="1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1.0</w:t>
            </w:r>
          </w:p>
        </w:tc>
        <w:tc>
          <w:tcPr>
            <w:tcW w:type="dxa" w:w="2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c>
          <w:tcPr>
            <w:tcW w:type="dxa" w:w="4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Issued for review</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2026-07-22T03:16:44.866Z</dcterms:created>
  <dcterms:modified xsi:type="dcterms:W3CDTF">2026-07-22T03:16:44.866Z</dcterms:modified>
</cp:coreProperties>
</file>

<file path=docProps/custom.xml><?xml version="1.0" encoding="utf-8"?>
<Properties xmlns="http://schemas.openxmlformats.org/officeDocument/2006/custom-properties" xmlns:vt="http://schemas.openxmlformats.org/officeDocument/2006/docPropsVTypes"/>
</file>