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Open Sans" w:cs="Open Sans" w:eastAsia="Open Sans" w:hAnsi="Open Sans"/>
          <w:b/>
          <w:bCs/>
          <w:color w:val="000000"/>
          <w:sz w:val="30"/>
          <w:szCs w:val="30"/>
        </w:rPr>
        <w:t xml:space="preserve">Module Descriptor</w:t>
      </w:r>
    </w:p>
    <w:p>
      <w:pPr>
        <w:pBdr>
          <w:bottom w:val="single" w:color="595959" w:sz="8" w:space="6"/>
        </w:pBdr>
        <w:spacing w:after="200" w:before="0"/>
      </w:pPr>
      <w:r>
        <w:rPr>
          <w:rFonts w:ascii="Open Sans" w:cs="Open Sans" w:eastAsia="Open Sans" w:hAnsi="Open Sans"/>
          <w:b/>
          <w:bCs/>
          <w:color w:val="595959"/>
          <w:sz w:val="34"/>
          <w:szCs w:val="34"/>
        </w:rPr>
        <w:t xml:space="preserve">Applied Data Exploration</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600"/>
      </w:tblGrid>
      <w:tr>
        <w:trPr>
          <w:tblHeader/>
        </w:trPr>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Field</w:t>
            </w:r>
          </w:p>
        </w:tc>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Value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code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NB-SOCE-L3-AD-TT-03</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Category</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Pathway module, taught</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Programme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BSc Computer Science with Artificial Intelligence and Data Science</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Status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Draft for review, version 1.0</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Date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22 July 2026</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Sources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School curriculum decision records; Sri Lanka Qualifications Framework (September 2015 edition, University Grants Commission); partner university module descriptors</w:t>
            </w:r>
          </w:p>
        </w:tc>
      </w:tr>
    </w:tbl>
    <w:p>
      <w:pPr>
        <w:spacing w:after="120" w:before="240"/>
      </w:pPr>
      <w:r>
        <w:rPr>
          <w:rFonts w:ascii="Open Sans" w:cs="Open Sans" w:eastAsia="Open Sans" w:hAnsi="Open Sans"/>
          <w:b/>
          <w:bCs/>
          <w:color w:val="000000"/>
          <w:sz w:val="24"/>
          <w:szCs w:val="24"/>
        </w:rPr>
        <w:t xml:space="preserve">1. Module Identity and Architecture</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600"/>
      </w:tblGrid>
      <w:tr>
        <w:trPr>
          <w:tblHeader/>
        </w:trPr>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Field</w:t>
            </w:r>
          </w:p>
        </w:tc>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Value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title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Applied Data Exploration</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SLQF level and credits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Level 3 (Year 1); 3 credits; 150 notional hours</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Feeder targets</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NB5005CEM Data Science: the data lifecycle and exploratory analysis. NB6024CEM Data Visualisation: seeded through the introductory visualisation strand. Year 2 consumers within the programme: Machine Learning Engineering, Data Engineering and Pipelines, Time Series and Forecasting.</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Prerequisites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Programming Concepts, which for this pathway supplies first Python exposure together with control and data structures in code, functions and modularity. Data Models and Management Systems, which supplies data modelling and SQL-based data access, assumed held.</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Delivery mode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Session-based delivery in 3-hour blocks; 16 lecture sessions plus tutorials, practicals and demonstration</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Progression role</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Inbound bridging module, scheduling-flexible relative to the Mathematics for Intelligent Systems gate.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Exit-award relevance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Applied data-handling competency in the pathway profile at Diploma level. Exit-award requirements remain subject to change and additional requirements may be introduced by the accrediting authority; the specification remains adaptable.</w:t>
            </w:r>
          </w:p>
        </w:tc>
      </w:tr>
    </w:tbl>
    <w:p>
      <w:pPr>
        <w:spacing w:after="120" w:before="240"/>
      </w:pPr>
      <w:r>
        <w:rPr>
          <w:rFonts w:ascii="Open Sans" w:cs="Open Sans" w:eastAsia="Open Sans" w:hAnsi="Open Sans"/>
          <w:b/>
          <w:bCs/>
          <w:color w:val="000000"/>
          <w:sz w:val="24"/>
          <w:szCs w:val="24"/>
        </w:rPr>
        <w:t xml:space="preserve">2. Module Purpose and Aims</w:t>
      </w:r>
    </w:p>
    <w:p>
      <w:pPr>
        <w:spacing w:after="80" w:before="80"/>
      </w:pPr>
      <w:r>
        <w:rPr>
          <w:rFonts w:ascii="Open Sans" w:cs="Open Sans" w:eastAsia="Open Sans" w:hAnsi="Open Sans"/>
          <w:b w:val="false"/>
          <w:bCs w:val="false"/>
          <w:i w:val="false"/>
          <w:iCs w:val="false"/>
          <w:color w:val="000000"/>
          <w:sz w:val="20"/>
          <w:szCs w:val="20"/>
        </w:rPr>
        <w:t xml:space="preserve">This module is where students first work with real data end to end: acquiring it, cleaning it, reshaping it, interrogating it, and saying something defensible about what it contains. It is the practical complement to Mathematics for Intelligent Systems, and the two together are what make the Year 2 modelling modules teachable.</w:t>
      </w:r>
    </w:p>
    <w:p>
      <w:pPr>
        <w:spacing w:after="80" w:before="80"/>
      </w:pPr>
      <w:r>
        <w:rPr>
          <w:rFonts w:ascii="Open Sans" w:cs="Open Sans" w:eastAsia="Open Sans" w:hAnsi="Open Sans"/>
          <w:b w:val="false"/>
          <w:bCs w:val="false"/>
          <w:i w:val="false"/>
          <w:iCs w:val="false"/>
          <w:color w:val="000000"/>
          <w:sz w:val="20"/>
          <w:szCs w:val="20"/>
        </w:rPr>
        <w:t xml:space="preserve">The module introduces the numerical and data stack rather than the programming language. Because Programming Concepts is delivered in Python for this pathway, students arrive already programming, and the laboratory hours that would otherwise absorb language onboarding are spent on exploratory work proper. The cost of that gain is named: the module assumes a programming capability that a late transfer from a pathway taught in a different language will not hold, and such a transfer is supported by the self-paced transition provision attached to the inbound bridge rather than by remediation inside this module.</w:t>
      </w:r>
    </w:p>
    <w:p>
      <w:pPr>
        <w:spacing w:after="80" w:before="80"/>
      </w:pPr>
      <w:r>
        <w:rPr>
          <w:rFonts w:ascii="Open Sans" w:cs="Open Sans" w:eastAsia="Open Sans" w:hAnsi="Open Sans"/>
          <w:b w:val="false"/>
          <w:bCs w:val="false"/>
          <w:i w:val="false"/>
          <w:iCs w:val="false"/>
          <w:color w:val="000000"/>
          <w:sz w:val="20"/>
          <w:szCs w:val="20"/>
        </w:rPr>
        <w:t xml:space="preserve">The scope limit is that this module explores and describes data; it does not model it. Every inferential claim, every fitted model and every pipeline belongs to a named Year 2 owner.</w:t>
      </w:r>
    </w:p>
    <w:p>
      <w:pPr>
        <w:spacing w:after="80" w:before="160"/>
      </w:pPr>
      <w:r>
        <w:rPr>
          <w:rFonts w:ascii="Open Sans" w:cs="Open Sans" w:eastAsia="Open Sans" w:hAnsi="Open Sans"/>
          <w:b/>
          <w:bCs/>
          <w:i w:val="false"/>
          <w:iCs w:val="false"/>
          <w:color w:val="000000"/>
          <w:sz w:val="20"/>
          <w:szCs w:val="20"/>
        </w:rPr>
        <w:t xml:space="preserve">Specification boundary</w:t>
      </w:r>
    </w:p>
    <w:tbl>
      <w:tblPr>
        <w:tblW w:type="dxa" w:w="9000"/>
        <w:tblBorders>
          <w:top w:val="none" w:color="FFFFFF" w:sz="0"/>
          <w:left w:val="single" w:color="595959" w:sz="18"/>
          <w:bottom w:val="none" w:color="FFFFFF" w:sz="0"/>
          <w:right w:val="none" w:color="FFFFFF" w:sz="0"/>
          <w:insideH w:val="none" w:color="FFFFFF" w:sz="0"/>
          <w:insideV w:val="none" w:color="FFFFFF" w:sz="0"/>
        </w:tblBorders>
      </w:tblPr>
      <w:tblGrid>
        <w:gridCol w:w="9000"/>
      </w:tblGrid>
      <w:tr>
        <w:tc>
          <w:tcPr>
            <w:tcW w:type="dxa" w:w="9000"/>
            <w:shd w:fill="F7F7F7" w:color="auto" w:val="clear"/>
            <w:tcMar>
              <w:top w:type="dxa" w:w="140"/>
              <w:left w:type="dxa" w:w="200"/>
              <w:bottom w:type="dxa" w:w="140"/>
              <w:right w:type="dxa" w:w="160"/>
            </w:tcMar>
          </w:tcPr>
          <w:p>
            <w:pPr>
              <w:spacing w:after="40" w:before="40"/>
            </w:pPr>
            <w:r>
              <w:rPr>
                <w:rFonts w:ascii="Open Sans" w:cs="Open Sans" w:eastAsia="Open Sans" w:hAnsi="Open Sans"/>
                <w:b/>
                <w:bCs/>
                <w:sz w:val="18"/>
                <w:szCs w:val="18"/>
              </w:rPr>
              <w:t xml:space="preserve">Covers: </w:t>
            </w:r>
            <w:r>
              <w:rPr>
                <w:rFonts w:ascii="Open Sans" w:cs="Open Sans" w:eastAsia="Open Sans" w:hAnsi="Open Sans"/>
                <w:i w:val="false"/>
                <w:iCs w:val="false"/>
                <w:sz w:val="18"/>
                <w:szCs w:val="18"/>
              </w:rPr>
              <w:t xml:space="preserve">hands-on data wrangling; exploratory data analysis; introduction to the Python numerical and data stack, including array computing and tabular data structures; introductory visualisation. Laboratory hours are spent on exploratory work proper, operating on data already accessible through the SQL competence taught in Data Models and Management Systems.</w:t>
            </w:r>
          </w:p>
          <w:p>
            <w:pPr>
              <w:spacing w:after="40" w:before="40"/>
            </w:pPr>
            <w:r>
              <w:rPr>
                <w:rFonts w:ascii="Open Sans" w:cs="Open Sans" w:eastAsia="Open Sans" w:hAnsi="Open Sans"/>
                <w:b/>
                <w:bCs/>
                <w:sz w:val="18"/>
                <w:szCs w:val="18"/>
              </w:rPr>
              <w:t xml:space="preserve">Does not cover: </w:t>
            </w:r>
            <w:r>
              <w:rPr>
                <w:rFonts w:ascii="Open Sans" w:cs="Open Sans" w:eastAsia="Open Sans" w:hAnsi="Open Sans"/>
                <w:i w:val="false"/>
                <w:iCs w:val="false"/>
                <w:sz w:val="18"/>
                <w:szCs w:val="18"/>
              </w:rPr>
              <w:t xml:space="preserve">SQL introduction and structured data access, which are covered by Data Models and Management Systems; production data engineering and pipelines, which are covered by Data Engineering and Pipelines; statistical modelling, which is covered by Statistical Methods and Analysis and by NB5018CEM at the partner university.</w:t>
            </w:r>
          </w:p>
          <w:p>
            <w:pPr>
              <w:spacing w:after="40" w:before="40"/>
            </w:pPr>
            <w:r>
              <w:rPr>
                <w:rFonts w:ascii="Open Sans" w:cs="Open Sans" w:eastAsia="Open Sans" w:hAnsi="Open Sans"/>
                <w:b/>
                <w:bCs/>
                <w:sz w:val="18"/>
                <w:szCs w:val="18"/>
              </w:rPr>
              <w:t xml:space="preserve"/>
            </w:r>
            <w:r>
              <w:rPr>
                <w:rFonts w:ascii="Open Sans" w:cs="Open Sans" w:eastAsia="Open Sans" w:hAnsi="Open Sans"/>
                <w:i/>
                <w:iCs/>
                <w:sz w:val="18"/>
                <w:szCs w:val="18"/>
              </w:rPr>
              <w:t xml:space="preserve">Changes to this boundary are made only through the School’s formal change-control process, not by amendment of this descriptor.</w:t>
            </w:r>
          </w:p>
        </w:tc>
      </w:tr>
    </w:tbl>
    <w:p>
      <w:pPr>
        <w:spacing w:after="120" w:before="240"/>
      </w:pPr>
      <w:r>
        <w:rPr>
          <w:rFonts w:ascii="Open Sans" w:cs="Open Sans" w:eastAsia="Open Sans" w:hAnsi="Open Sans"/>
          <w:b/>
          <w:bCs/>
          <w:color w:val="000000"/>
          <w:sz w:val="24"/>
          <w:szCs w:val="24"/>
        </w:rPr>
        <w:t xml:space="preserve">3. Learning Outcomes</w:t>
      </w:r>
    </w:p>
    <w:p>
      <w:pPr>
        <w:spacing w:after="80" w:before="80"/>
      </w:pPr>
      <w:r>
        <w:rPr>
          <w:rFonts w:ascii="Open Sans" w:cs="Open Sans" w:eastAsia="Open Sans" w:hAnsi="Open Sans"/>
          <w:b w:val="false"/>
          <w:bCs w:val="false"/>
          <w:i w:val="false"/>
          <w:iCs w:val="false"/>
          <w:color w:val="000000"/>
          <w:sz w:val="20"/>
          <w:szCs w:val="20"/>
        </w:rPr>
        <w:t xml:space="preserve">On successful completion of this module, a student will be able to:</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6100"/>
        <w:gridCol w:w="2200"/>
      </w:tblGrid>
      <w:tr>
        <w:trPr>
          <w:tblHeader/>
        </w:trPr>
        <w:tc>
          <w:tcPr>
            <w:tcW w:type="dxa" w:w="7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Ref</w:t>
            </w:r>
          </w:p>
        </w:tc>
        <w:tc>
          <w:tcPr>
            <w:tcW w:type="dxa" w:w="61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Intended learning outcome</w:t>
            </w:r>
          </w:p>
        </w:tc>
        <w:tc>
          <w:tcPr>
            <w:tcW w:type="dxa" w:w="22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Level of learning</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w:t>
            </w:r>
          </w:p>
        </w:tc>
        <w:tc>
          <w:tcPr>
            <w:tcW w:type="dxa" w:w="61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Wrangle and prepare real datasets using the Python numerical and data stack, including cleaning, reshaping, merging and the handling of missing values.</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LO2</w:t>
            </w:r>
          </w:p>
        </w:tc>
        <w:tc>
          <w:tcPr>
            <w:tcW w:type="dxa" w:w="61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Conduct exploratory data analysis and interpret and summarise the findings for a defined audience.</w:t>
            </w:r>
          </w:p>
        </w:tc>
        <w:tc>
          <w:tcPr>
            <w:tcW w:type="dxa" w:w="22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 and interpret</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LO3</w:t>
            </w:r>
          </w:p>
        </w:tc>
        <w:tc>
          <w:tcPr>
            <w:tcW w:type="dxa" w:w="61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Produce introductory visualisations that communicate the structure of a dataset and justify the choices made.</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 and initial judgment</w:t>
            </w:r>
          </w:p>
        </w:tc>
      </w:tr>
    </w:tbl>
    <w:p>
      <w:pPr>
        <w:spacing w:after="120" w:before="240"/>
      </w:pPr>
      <w:r>
        <w:rPr>
          <w:rFonts w:ascii="Open Sans" w:cs="Open Sans" w:eastAsia="Open Sans" w:hAnsi="Open Sans"/>
          <w:b/>
          <w:bCs/>
          <w:color w:val="000000"/>
          <w:sz w:val="24"/>
          <w:szCs w:val="24"/>
        </w:rPr>
        <w:t xml:space="preserve">4. Curriculum and Delivery</w:t>
      </w:r>
    </w:p>
    <w:p>
      <w:pPr>
        <w:spacing w:after="80" w:before="80"/>
      </w:pPr>
      <w:r>
        <w:rPr>
          <w:rFonts w:ascii="Open Sans" w:cs="Open Sans" w:eastAsia="Open Sans" w:hAnsi="Open Sans"/>
          <w:b/>
          <w:bCs/>
          <w:i w:val="false"/>
          <w:iCs w:val="false"/>
          <w:color w:val="000000"/>
          <w:sz w:val="20"/>
          <w:szCs w:val="20"/>
        </w:rPr>
        <w:t xml:space="preserve">Indicative syllabus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6800"/>
        <w:gridCol w:w="1500"/>
      </w:tblGrid>
      <w:tr>
        <w:trPr>
          <w:tblHeader/>
        </w:trPr>
        <w:tc>
          <w:tcPr>
            <w:tcW w:type="dxa" w:w="7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Unit</w:t>
            </w:r>
          </w:p>
        </w:tc>
        <w:tc>
          <w:tcPr>
            <w:tcW w:type="dxa" w:w="6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Content</w:t>
            </w:r>
          </w:p>
        </w:tc>
        <w:tc>
          <w:tcPr>
            <w:tcW w:type="dxa" w:w="15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Lecture hours</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U1</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The exploratory workflow and the numerical and data stack: notebooks and reproducible working, array computing, and why vectorised thinking differs from loop thinking</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U2</w:t>
            </w:r>
          </w:p>
        </w:tc>
        <w:tc>
          <w:tcPr>
            <w:tcW w:type="dxa" w:w="6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Tabular data structures: series and dataframes, indexing and selection, types and coercion, reading data from files and from an existing relational source</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U3</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Wrangling: cleaning, transforming, reshaping between long and wide forms, merging and joining within the data stack, and the treatment of missing and anomalous values</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15</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U4</w:t>
            </w:r>
          </w:p>
        </w:tc>
        <w:tc>
          <w:tcPr>
            <w:tcW w:type="dxa" w:w="6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Exploratory data analysis: distributions, relationships, grouped and aggregated summaries, and outliers read as questions rather than as defects</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U5</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Introductory visualisation for exploration and communication: chart selection for the question being asked, and the honest presentation of scale and comparison</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w:t>
            </w:r>
          </w:p>
        </w:tc>
      </w:tr>
      <w:tr>
        <w:tc>
          <w:tcPr>
            <w:tcW w:type="dxa" w:w="7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
            </w:r>
          </w:p>
        </w:tc>
        <w:tc>
          <w:tcPr>
            <w:tcW w:type="dxa" w:w="68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Total lecture hours</w:t>
            </w:r>
          </w:p>
        </w:tc>
        <w:tc>
          <w:tcPr>
            <w:tcW w:type="dxa" w:w="15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48</w:t>
            </w:r>
          </w:p>
        </w:tc>
      </w:tr>
    </w:tbl>
    <w:p>
      <w:pPr>
        <w:spacing w:after="80" w:before="80"/>
      </w:pPr>
      <w:r>
        <w:rPr>
          <w:rFonts w:ascii="Open Sans" w:cs="Open Sans" w:eastAsia="Open Sans" w:hAnsi="Open Sans"/>
          <w:b w:val="false"/>
          <w:bCs w:val="false"/>
          <w:i w:val="false"/>
          <w:iCs w:val="false"/>
          <w:color w:val="000000"/>
          <w:sz w:val="20"/>
          <w:szCs w:val="20"/>
        </w:rPr>
        <w:t xml:space="preserve">Session note: the 48 lecture hours are delivered as 16 sessions of 3 hours, with unit allocations in multiples of 3 so that unit boundaries fall on session boundaries. The 24-hour practical and laboratory allocation is the substance of this module and is protected rather than treated as adjustable.</w:t>
      </w:r>
    </w:p>
    <w:p>
      <w:pPr>
        <w:spacing w:after="80" w:before="80"/>
      </w:pPr>
      <w:r>
        <w:rPr>
          <w:rFonts w:ascii="Open Sans" w:cs="Open Sans" w:eastAsia="Open Sans" w:hAnsi="Open Sans"/>
          <w:b w:val="false"/>
          <w:bCs w:val="false"/>
          <w:i w:val="false"/>
          <w:iCs w:val="false"/>
          <w:color w:val="000000"/>
          <w:sz w:val="20"/>
          <w:szCs w:val="20"/>
        </w:rPr>
        <w:t xml:space="preserve">Level of practical work: outcomes LO1 and LO3 lead with practical verbs. At Level 3 the framework expects the demonstration of transferable skills related to information and communications technology, and these outcomes sit inside that expectation: the work is performed on supplied datasets with stated goals and claims no independent analytical design. The analytical demand of Level 4 arrives with the Year 2 owners.</w:t>
      </w:r>
    </w:p>
    <w:p>
      <w:pPr>
        <w:spacing w:after="80" w:before="80"/>
      </w:pPr>
      <w:r>
        <w:rPr>
          <w:rFonts w:ascii="Open Sans" w:cs="Open Sans" w:eastAsia="Open Sans" w:hAnsi="Open Sans"/>
          <w:b w:val="false"/>
          <w:bCs w:val="false"/>
          <w:i w:val="false"/>
          <w:iCs w:val="false"/>
          <w:color w:val="000000"/>
          <w:sz w:val="20"/>
          <w:szCs w:val="20"/>
        </w:rPr>
        <w:t xml:space="preserve">Working-language note: Python throughout, continuing directly from Programming Concepts. Merging and joining are performed within the data stack and not in SQL, which keeps the boundary with Data Models and Management Systems clean at the point where it is most easily blurred.</w:t>
      </w:r>
    </w:p>
    <w:p>
      <w:pPr>
        <w:spacing w:after="80" w:before="160"/>
      </w:pPr>
      <w:r>
        <w:rPr>
          <w:rFonts w:ascii="Open Sans" w:cs="Open Sans" w:eastAsia="Open Sans" w:hAnsi="Open Sans"/>
          <w:b/>
          <w:bCs/>
          <w:i w:val="false"/>
          <w:iCs w:val="false"/>
          <w:color w:val="000000"/>
          <w:sz w:val="20"/>
          <w:szCs w:val="20"/>
        </w:rPr>
        <w:t xml:space="preserve">Teaching and learning hours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6600"/>
        <w:gridCol w:w="2400"/>
      </w:tblGrid>
      <w:tr>
        <w:trPr>
          <w:tblHeader/>
        </w:trPr>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Component</w:t>
            </w:r>
          </w:p>
        </w:tc>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Hours</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Lectures</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48</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Tutorials</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12</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Practicals and laboratory</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24</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In-class assignments</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Demonstration</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3</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Self-guided study</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54</w:t>
            </w:r>
          </w:p>
        </w:tc>
      </w:tr>
      <w:tr>
        <w:tc>
          <w:tcPr>
            <w:tcW w:type="dxa" w:w="66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Total notional hours</w:t>
            </w:r>
          </w:p>
        </w:tc>
        <w:tc>
          <w:tcPr>
            <w:tcW w:type="dxa" w:w="24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150</w:t>
            </w:r>
          </w:p>
        </w:tc>
      </w:tr>
    </w:tbl>
    <w:p>
      <w:pPr>
        <w:spacing w:after="120" w:before="240"/>
      </w:pPr>
      <w:r>
        <w:rPr>
          <w:rFonts w:ascii="Open Sans" w:cs="Open Sans" w:eastAsia="Open Sans" w:hAnsi="Open Sans"/>
          <w:b/>
          <w:bCs/>
          <w:color w:val="000000"/>
          <w:sz w:val="24"/>
          <w:szCs w:val="24"/>
        </w:rPr>
        <w:t xml:space="preserve">5. Assessment</w:t>
      </w:r>
    </w:p>
    <w:p>
      <w:pPr>
        <w:spacing w:after="80" w:before="80"/>
      </w:pPr>
      <w:r>
        <w:rPr>
          <w:rFonts w:ascii="Open Sans" w:cs="Open Sans" w:eastAsia="Open Sans" w:hAnsi="Open Sans"/>
          <w:b w:val="false"/>
          <w:bCs w:val="false"/>
          <w:i w:val="false"/>
          <w:iCs w:val="false"/>
          <w:color w:val="000000"/>
          <w:sz w:val="20"/>
          <w:szCs w:val="20"/>
        </w:rPr>
        <w:t xml:space="preserve">Weightings are stated below and are confirmed at specification sign-off.</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500"/>
        <w:gridCol w:w="3600"/>
        <w:gridCol w:w="2200"/>
        <w:gridCol w:w="900"/>
        <w:gridCol w:w="800"/>
      </w:tblGrid>
      <w:tr>
        <w:trPr>
          <w:tblHeader/>
        </w:trPr>
        <w:tc>
          <w:tcPr>
            <w:tcW w:type="dxa" w:w="15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Component</w:t>
            </w:r>
          </w:p>
        </w:tc>
        <w:tc>
          <w:tcPr>
            <w:tcW w:type="dxa" w:w="3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Task</w:t>
            </w:r>
          </w:p>
        </w:tc>
        <w:tc>
          <w:tcPr>
            <w:tcW w:type="dxa" w:w="22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Conditions</w:t>
            </w:r>
          </w:p>
        </w:tc>
        <w:tc>
          <w:tcPr>
            <w:tcW w:type="dxa" w:w="9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Outcomes</w:t>
            </w:r>
          </w:p>
        </w:tc>
        <w:tc>
          <w:tcPr>
            <w:tcW w:type="dxa" w:w="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Weight</w:t>
            </w:r>
          </w:p>
        </w:tc>
      </w:tr>
      <w:tr>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Coursework</w:t>
            </w:r>
          </w:p>
        </w:tc>
        <w:tc>
          <w:tcPr>
            <w:tcW w:type="dxa" w:w="3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Released brief: an end-to-end exploratory study of a supplied real dataset, submitted as an annotated notebook plus a report of approximately 1,500 words stating what was found, what was cleaned and why, and what the data cannot answer</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 take-home; graded; Viva/Presentation: presentation of 10 minutes at demonstration, on the student’s own study</w:t>
            </w:r>
          </w:p>
        </w:tc>
        <w:tc>
          <w:tcPr>
            <w:tcW w:type="dxa" w:w="9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 to LO3</w:t>
            </w:r>
          </w:p>
        </w:tc>
        <w:tc>
          <w:tcPr>
            <w:tcW w:type="dxa" w:w="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60%</w:t>
            </w:r>
          </w:p>
        </w:tc>
      </w:tr>
      <w:tr>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Practical</w:t>
            </w:r>
          </w:p>
        </w:tc>
        <w:tc>
          <w:tcPr>
            <w:tcW w:type="dxa" w:w="3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Supervised laboratory assessment of wrangling and exploration competence on an unseen dataset within a fixed session: load, clean, reshape, summarise and produce one justified visualisation</w:t>
            </w:r>
          </w:p>
        </w:tc>
        <w:tc>
          <w:tcPr>
            <w:tcW w:type="dxa" w:w="22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 supervised; graded</w:t>
            </w:r>
          </w:p>
        </w:tc>
        <w:tc>
          <w:tcPr>
            <w:tcW w:type="dxa" w:w="9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 to LO3</w:t>
            </w:r>
          </w:p>
        </w:tc>
        <w:tc>
          <w:tcPr>
            <w:tcW w:type="dxa" w:w="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40%</w:t>
            </w:r>
          </w:p>
        </w:tc>
      </w:tr>
    </w:tbl>
    <w:p>
      <w:pPr>
        <w:spacing w:after="80" w:before="80"/>
      </w:pPr>
      <w:r>
        <w:rPr>
          <w:rFonts w:ascii="Open Sans" w:cs="Open Sans" w:eastAsia="Open Sans" w:hAnsi="Open Sans"/>
          <w:b w:val="false"/>
          <w:bCs w:val="false"/>
          <w:i w:val="false"/>
          <w:iCs w:val="false"/>
          <w:color w:val="000000"/>
          <w:sz w:val="20"/>
          <w:szCs w:val="20"/>
        </w:rPr>
        <w:t xml:space="preserve">No examination is carried by design. The capability this module certifies is hands-on competence with data, which a written unseen paper cannot evidence. The supervised laboratory assessment supplies the constraint that an examination would otherwise supply, and does so in the medium in which the competence actually lives.</w:t>
      </w:r>
    </w:p>
    <w:p>
      <w:pPr>
        <w:spacing w:after="80" w:before="80"/>
      </w:pPr>
      <w:r>
        <w:rPr>
          <w:rFonts w:ascii="Open Sans" w:cs="Open Sans" w:eastAsia="Open Sans" w:hAnsi="Open Sans"/>
          <w:b w:val="false"/>
          <w:bCs w:val="false"/>
          <w:i w:val="false"/>
          <w:iCs w:val="false"/>
          <w:color w:val="000000"/>
          <w:sz w:val="20"/>
          <w:szCs w:val="20"/>
        </w:rPr>
        <w:t xml:space="preserve">Reassessment is by failed component. The take-home study is an open-resource task in which generative-artificial-intelligence assistance must be declared, with the reasoning and the cleaning decisions evidenced in the student’s own words; the presentation tests authorship, and the supervised laboratory assessment is closed to such assistance.</w:t>
      </w:r>
    </w:p>
    <w:p>
      <w:pPr>
        <w:spacing w:after="120" w:before="240"/>
      </w:pPr>
      <w:r>
        <w:rPr>
          <w:rFonts w:ascii="Open Sans" w:cs="Open Sans" w:eastAsia="Open Sans" w:hAnsi="Open Sans"/>
          <w:b/>
          <w:bCs/>
          <w:color w:val="000000"/>
          <w:sz w:val="24"/>
          <w:szCs w:val="24"/>
        </w:rPr>
        <w:t xml:space="preserve">6. Resources, Staff and Governance</w:t>
      </w:r>
    </w:p>
    <w:p>
      <w:pPr>
        <w:spacing w:after="80" w:before="80"/>
      </w:pPr>
      <w:r>
        <w:rPr>
          <w:rFonts w:ascii="Open Sans" w:cs="Open Sans" w:eastAsia="Open Sans" w:hAnsi="Open Sans"/>
          <w:b/>
          <w:bCs/>
          <w:i w:val="false"/>
          <w:iCs w:val="false"/>
          <w:color w:val="000000"/>
          <w:sz w:val="20"/>
          <w:szCs w:val="20"/>
        </w:rPr>
        <w:t xml:space="preserve">Indicative reading</w:t>
      </w:r>
    </w:p>
    <w:p>
      <w:pPr>
        <w:spacing w:after="60" w:before="60"/>
        <w:ind w:left="300" w:hanging="300"/>
      </w:pPr>
      <w:r>
        <w:rPr>
          <w:rFonts w:ascii="Open Sans" w:cs="Open Sans" w:eastAsia="Open Sans" w:hAnsi="Open Sans"/>
          <w:b/>
          <w:bCs/>
          <w:sz w:val="18"/>
          <w:szCs w:val="18"/>
        </w:rPr>
        <w:t xml:space="preserve">Core</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McKinney, W. (2022) Python for Data Analysis: Data Wrangling with pandas, NumPy and Jupyter. 3rd edition. O’Reilly Media. Primary text for units 1 to 4, written by the author of pandas. A publisher-authorised open edition is available at wesmckinney.com/book.</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VanderPlas, J. (2022) Python Data Science Handbook: Essential Tools for Working with Data. 2nd edition. O’Reilly Media. Second text, used for the array-computing and visualisation strands. A free online edition is available at jakevdp.github.io/PythonDataScienceHandbook.</w:t>
      </w:r>
    </w:p>
    <w:p>
      <w:pPr>
        <w:spacing w:after="60" w:before="60"/>
        <w:ind w:left="300" w:hanging="300"/>
      </w:pPr>
      <w:r>
        <w:rPr>
          <w:rFonts w:ascii="Open Sans" w:cs="Open Sans" w:eastAsia="Open Sans" w:hAnsi="Open Sans"/>
          <w:b/>
          <w:bCs/>
          <w:sz w:val="18"/>
          <w:szCs w:val="18"/>
        </w:rPr>
        <w:t xml:space="preserve">Supplementary</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Guttag, J. V. (2021) Introduction to Computation and Programming Using Python: With Application to Computational Modeling and Understanding Data. 3rd edition. MIT Press. ISBN 978-0-262-54236-4. Used for the plotting and simulation strands only; the earlier programming chapters belong to Programming Concepts and are not set here.</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Bruce, P., Bruce, A. and Gedeck, P. (2020) Practical Statistics for Data Scientists: 50+ Essential Concepts Using R and Python. 2nd edition. O’Reilly Media. Dependency: a dual-language text of which only the Python examples are used. Its inferential chapters lie outside this module’s boundary and belong to Statistical Methods and Analysis; students are told so to prevent scope drift in self-guided study.</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MIT OpenCourseWare, 6.0002 Introduction to Computational Thinking and Data Science, Fall 2016 (J. Guttag and A. Bell), Massachusetts Institute of Technology. Directed self-guided consolidation for the plotting, sampling and simulation strands of units 4 and 5. Dependency: that course sets the 2016 second edition of Guttag and uses Python 3.5; readings map to the third edition listed above and the code examples require minor updating for current Python versions.</w:t>
      </w:r>
    </w:p>
    <w:p>
      <w:pPr>
        <w:spacing w:after="60" w:before="60"/>
        <w:ind w:left="300" w:hanging="300"/>
      </w:pPr>
      <w:r>
        <w:rPr>
          <w:rFonts w:ascii="Open Sans" w:cs="Open Sans" w:eastAsia="Open Sans" w:hAnsi="Open Sans"/>
          <w:b/>
          <w:bCs/>
          <w:sz w:val="18"/>
          <w:szCs w:val="18"/>
        </w:rPr>
        <w:t xml:space="preserve">School-produced</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Laboratory datasets with documented provenance, wrangling worksheets, and a notebook template for reproducible submission. Confirmed at teaching-plan stage.</w:t>
      </w:r>
    </w:p>
    <w:p>
      <w:pPr>
        <w:spacing w:after="60" w:before="60"/>
        <w:ind w:left="300" w:hanging="300"/>
      </w:pPr>
      <w:r>
        <w:rPr>
          <w:rFonts w:ascii="Open Sans" w:cs="Open Sans" w:eastAsia="Open Sans" w:hAnsi="Open Sans"/>
          <w:b/>
          <w:bCs/>
          <w:sz w:val="18"/>
          <w:szCs w:val="18"/>
        </w:rPr>
        <w:t xml:space="preserve">Licensing note</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MIT OpenCourseWare materials are published under a Creative Commons Attribution-NonCommercial-ShareAlike licence and are cited as directed study resources accessed at source. Any incorporation into School-produced materials requires attribution and share-alike compliance, confirmed at teaching-plan stage.</w:t>
      </w:r>
    </w:p>
    <w:p>
      <w:pPr>
        <w:spacing w:after="80" w:before="200"/>
      </w:pPr>
      <w:r>
        <w:rPr>
          <w:rFonts w:ascii="Open Sans" w:cs="Open Sans" w:eastAsia="Open Sans" w:hAnsi="Open Sans"/>
          <w:b/>
          <w:bCs/>
          <w:i w:val="false"/>
          <w:iCs w:val="false"/>
          <w:color w:val="000000"/>
          <w:sz w:val="20"/>
          <w:szCs w:val="20"/>
        </w:rPr>
        <w:t xml:space="preserve">Staffing</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3000"/>
        <w:gridCol w:w="3000"/>
      </w:tblGrid>
      <w:tr>
        <w:trPr>
          <w:tblHeader/>
        </w:trPr>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Role</w:t>
            </w:r>
          </w:p>
        </w:tc>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Name</w:t>
            </w:r>
          </w:p>
        </w:tc>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Domain credential</w:t>
            </w:r>
          </w:p>
        </w:tc>
      </w:tr>
      <w:tr>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leader 1</w:t>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r>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leader 2</w:t>
            </w:r>
          </w:p>
        </w:tc>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r>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External module auditor</w:t>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bl>
    <w:p>
      <w:pPr>
        <w:spacing w:after="80" w:before="140"/>
      </w:pPr>
      <w:r>
        <w:rPr>
          <w:rFonts w:ascii="Open Sans" w:cs="Open Sans" w:eastAsia="Open Sans" w:hAnsi="Open Sans"/>
          <w:b w:val="false"/>
          <w:bCs w:val="false"/>
          <w:i w:val="false"/>
          <w:iCs w:val="false"/>
          <w:color w:val="000000"/>
          <w:sz w:val="20"/>
          <w:szCs w:val="20"/>
        </w:rPr>
        <w:t xml:space="preserve">Domain-expertise statement: delivery requires practising data-science and analytics expertise, including current fluency in the Python data stack. This module sets the pathway’s working habits with data and generic programming delivery is not compliant.</w:t>
      </w:r>
    </w:p>
    <w:p>
      <w:pPr>
        <w:spacing w:after="80" w:before="200"/>
      </w:pPr>
      <w:r>
        <w:rPr>
          <w:rFonts w:ascii="Open Sans" w:cs="Open Sans" w:eastAsia="Open Sans" w:hAnsi="Open Sans"/>
          <w:b/>
          <w:bCs/>
          <w:i w:val="false"/>
          <w:iCs w:val="false"/>
          <w:color w:val="000000"/>
          <w:sz w:val="20"/>
          <w:szCs w:val="20"/>
        </w:rPr>
        <w:t xml:space="preserve">Sign-off</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800"/>
        <w:gridCol w:w="2600"/>
        <w:gridCol w:w="4600"/>
      </w:tblGrid>
      <w:tr>
        <w:trPr>
          <w:tblHeader/>
        </w:trPr>
        <w:tc>
          <w:tcPr>
            <w:tcW w:type="dxa" w:w="1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Version</w:t>
            </w:r>
          </w:p>
        </w:tc>
        <w:tc>
          <w:tcPr>
            <w:tcW w:type="dxa" w:w="2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Date</w:t>
            </w:r>
          </w:p>
        </w:tc>
        <w:tc>
          <w:tcPr>
            <w:tcW w:type="dxa" w:w="4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Status</w:t>
            </w:r>
          </w:p>
        </w:tc>
      </w:tr>
      <w:tr>
        <w:tc>
          <w:tcPr>
            <w:tcW w:type="dxa" w:w="1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1.0</w:t>
            </w:r>
          </w:p>
        </w:tc>
        <w:tc>
          <w:tcPr>
            <w:tcW w:type="dxa" w:w="2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22 July 2026</w:t>
            </w:r>
          </w:p>
        </w:tc>
        <w:tc>
          <w:tcPr>
            <w:tcW w:type="dxa" w:w="4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Issued for review</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2026-07-22T03:16:45.204Z</dcterms:created>
  <dcterms:modified xsi:type="dcterms:W3CDTF">2026-07-22T03:16:45.204Z</dcterms:modified>
</cp:coreProperties>
</file>

<file path=docProps/custom.xml><?xml version="1.0" encoding="utf-8"?>
<Properties xmlns="http://schemas.openxmlformats.org/officeDocument/2006/custom-properties" xmlns:vt="http://schemas.openxmlformats.org/officeDocument/2006/docPropsVTypes"/>
</file>