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Capstone Project</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NB-SOCE-L4-AD-SK-01</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Capstone Project</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skills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4 (Year 2); 5 credits; 250 notional hours</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NB6020CEM Project, on both destinations, as the independent-project and research-readiness antecedent. Neither destination carries a separate research-preparation module, so this module carries the independent-work grounding into the degree Project.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The Year 2 taught pathway modules, for applied integration. Creative Project in Year 1, as the prior supervised-project experience.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Briefings and methods input in 3-hour blocks; individual supervision; supervised laboratory and build access; demonstration and viva</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 and competency evidence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The project artefact is the second designed public-portfolio vehicle in the programme, alongside Creative Project, and is orientable as competency evidence at Higher National Diploma level: an integrative, individually owned deliverable with a build log evidencing the process and a viva record evidencing ownership. The accrediting authority’s requirements are not yet final and additional requirements may be introduced; the evidence format is held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The Capstone is where the programme stops being a set of modules and becomes a capability. A student takes a real problem in the artificial-intelligence and data-science domain, scopes it themselves, chooses and justifies an approach, builds something that works, and then stands in front of people and defends what they did.</w:t>
      </w:r>
    </w:p>
    <w:p>
      <w:pPr>
        <w:spacing w:after="80" w:before="80"/>
      </w:pPr>
      <w:r>
        <w:rPr>
          <w:rFonts w:ascii="Open Sans" w:cs="Open Sans" w:eastAsia="Open Sans" w:hAnsi="Open Sans"/>
          <w:b w:val="false"/>
          <w:bCs w:val="false"/>
          <w:i w:val="false"/>
          <w:iCs w:val="false"/>
          <w:color w:val="000000"/>
          <w:sz w:val="20"/>
          <w:szCs w:val="20"/>
        </w:rPr>
        <w:t xml:space="preserve">Its two functions are separate and the design serves both. The first is progression: NB6020CEM at the degree expects a student who can sustain independent work over months, and neither destination provides a research-preparation module to build that. The second is evidence: the artefact is a portfolio piece the graduate can show an employer, and a competency record an accrediting authority can inspect. The design resolves the tension by fixing the process, through the build log, the supervision pattern and the viva, while leaving the product open, so that the artefact is genuinely the student’s own.</w:t>
      </w:r>
    </w:p>
    <w:p>
      <w:pPr>
        <w:spacing w:after="80" w:before="80"/>
      </w:pPr>
      <w:r>
        <w:rPr>
          <w:rFonts w:ascii="Open Sans" w:cs="Open Sans" w:eastAsia="Open Sans" w:hAnsi="Open Sans"/>
          <w:b w:val="false"/>
          <w:bCs w:val="false"/>
          <w:i w:val="false"/>
          <w:iCs w:val="false"/>
          <w:color w:val="000000"/>
          <w:sz w:val="20"/>
          <w:szCs w:val="20"/>
        </w:rPr>
        <w:t xml:space="preserve">The honest limit: this is not degree-level independent research. It is supervised integrative practice with a defended outcome, which is the correct level for a Higher National Diploma and the correct preparation for what follows.</w:t>
      </w:r>
    </w:p>
    <w:p>
      <w:pPr>
        <w:spacing w:after="80" w:before="80"/>
      </w:pPr>
      <w:r>
        <w:rPr>
          <w:rFonts w:ascii="Open Sans" w:cs="Open Sans" w:eastAsia="Open Sans" w:hAnsi="Open Sans"/>
          <w:b w:val="false"/>
          <w:bCs w:val="false"/>
          <w:i w:val="false"/>
          <w:iCs w:val="false"/>
          <w:color w:val="000000"/>
          <w:sz w:val="20"/>
          <w:szCs w:val="20"/>
        </w:rPr>
        <w:t xml:space="preserve">Structure and hours are fixed across all four pathways of the programme. Pathway character lives in the project briefs, the domains and the supervision, never in the structure.</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an integrative, output-oriented pathway project; methods input; supervision; demonstration and viva.</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the degree-level independent research depth of NB6020CEM.</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Plan and deliver an integrative pathway project against a scope the student has defined and defended.</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methods appropriate to a real problem, and justify the selection made.</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Demonstrate the outcome and evaluate it against the problem it set out to address, defending the decisions taken.</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Evaluate</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Programme structure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5600"/>
        <w:gridCol w:w="1500"/>
      </w:tblGrid>
      <w:tr>
        <w:trPr>
          <w:tblHeader/>
        </w:trPr>
        <w:tc>
          <w:tcPr>
            <w:tcW w:type="dxa" w:w="1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5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1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Briefings and methods input</w:t>
            </w:r>
          </w:p>
        </w:tc>
        <w:tc>
          <w:tcPr>
            <w:tcW w:type="dxa" w:w="5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Five 3-hour blocks: scoping, from an interest to a defensible problem statement; methods selection across the modelling, engineering and reasoning strands, with justification; data, ethics and responsible use, covering provenance, consent, licensing and the limits of what a project may claim; building and evidencing, covering build-log discipline, reproducibility and version control as evidence; communicating and defending, covering the demonstration, the report and viva preparation</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1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Supervision meetings</w:t>
            </w:r>
          </w:p>
        </w:tc>
        <w:tc>
          <w:tcPr>
            <w:tcW w:type="dxa" w:w="5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supervision totalling 21 hours per student: an initial scoping meeting at which the problem statement is agreed, followed by regular scheduled meetings across the project. The distribution pattern is set at specification stage and the total is fixed. Meeting notes form part of the evidence that the work is the student’s own</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21</w:t>
            </w:r>
          </w:p>
        </w:tc>
      </w:tr>
      <w:tr>
        <w:tc>
          <w:tcPr>
            <w:tcW w:type="dxa" w:w="1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Laboratory and build access (supervised)</w:t>
            </w:r>
          </w:p>
        </w:tc>
        <w:tc>
          <w:tcPr>
            <w:tcW w:type="dxa" w:w="5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Scheduled supervised access to laboratory and build facilities. This is a resourcing commitment whose cost is visible: 39 supervised hours per student multiplied by cohort size is a substantial timetabled demand, and it is the component most likely to come under pressure. If it is reduced, the build log thins and the artefact quality with it</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39</w:t>
            </w:r>
          </w:p>
        </w:tc>
      </w:tr>
      <w:tr>
        <w:tc>
          <w:tcPr>
            <w:tcW w:type="dxa" w:w="1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Presentation, demonstration and viva</w:t>
            </w:r>
          </w:p>
        </w:tc>
        <w:tc>
          <w:tcPr>
            <w:tcW w:type="dxa" w:w="5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The demonstration session at which the artefact is presented and exercised, and the viva at which the report is defended. Both are scheduled events, not informal reviews</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1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Independent project work</w:t>
            </w:r>
          </w:p>
        </w:tc>
        <w:tc>
          <w:tcPr>
            <w:tcW w:type="dxa" w:w="5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Not session-scheduled. The largest component by design, and where the project is actually done</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166</w:t>
            </w:r>
          </w:p>
        </w:tc>
      </w:tr>
      <w:tr>
        <w:tc>
          <w:tcPr>
            <w:tcW w:type="dxa" w:w="19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5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250</w:t>
            </w:r>
          </w:p>
        </w:tc>
      </w:tr>
    </w:tbl>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Project briefings and methods input</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Supervision meetings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21</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Laboratory and build access (supervised)</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39</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Presentation, demonstration and viva</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Independent project work</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166</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250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Project artefact with build log: a working integrative deliverable in the pathway domain, accompanied by a build log evidencing the development process, the decisions taken and the points at which the approach changed</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presentation at demonstration</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60%</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Final report: the problem, the approach and its justification, the outcome, and an evaluation of the outcome against the problem, including what the project does not establish</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viva-defence, mandatory</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40%</w:t>
            </w:r>
          </w:p>
        </w:tc>
      </w:tr>
    </w:tbl>
    <w:p>
      <w:pPr>
        <w:spacing w:after="80" w:before="80"/>
      </w:pPr>
      <w:r>
        <w:rPr>
          <w:rFonts w:ascii="Open Sans" w:cs="Open Sans" w:eastAsia="Open Sans" w:hAnsi="Open Sans"/>
          <w:b w:val="false"/>
          <w:bCs w:val="false"/>
          <w:i w:val="false"/>
          <w:iCs w:val="false"/>
          <w:color w:val="000000"/>
          <w:sz w:val="20"/>
          <w:szCs w:val="20"/>
        </w:rPr>
        <w:t xml:space="preserve">Both components are classified as take-home. The supervised laboratory and build access described above is a delivery arrangement rather than an assessment condition, and classifying either component as in-class would misrepresent the conditions under which the work is produced.</w:t>
      </w:r>
    </w:p>
    <w:p>
      <w:pPr>
        <w:spacing w:after="80" w:before="80"/>
      </w:pPr>
      <w:r>
        <w:rPr>
          <w:rFonts w:ascii="Open Sans" w:cs="Open Sans" w:eastAsia="Open Sans" w:hAnsi="Open Sans"/>
          <w:b w:val="false"/>
          <w:bCs w:val="false"/>
          <w:i w:val="false"/>
          <w:iCs w:val="false"/>
          <w:color w:val="000000"/>
          <w:sz w:val="20"/>
          <w:szCs w:val="20"/>
        </w:rPr>
        <w:t xml:space="preserve">No examination is carried, by design and by the structure fixed across the programme. The capability certified is an integrative built outcome and the ability to defend it, neither of which an examination measures.</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The build log and the viva-defence are jointly the authorship mechanism: generative-artificial-intelligence assistance must be declared and located in the build log at the point it was used. A student who cannot account for their own artefact and its development at the viva cannot pass, irrespective of the artefact’s quality. This is stated plainly because an integrative project is the assessment most exposed in the programme to undeclared generation.</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Dawson, C. W. (2015) Projects in Computing and Information Systems: A Student’s Guide. 3rd edition. Pearson. ISBN 978-1-292-07346-0. Primary text for the briefings programme, covering scoping, planning, conduct, writing and presentation. Dependency: dated in its technology examples; set for project conduct and structure, which have not dated, and not for tooling.</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Oates, B. J., Griffiths, M. and McLean, R. (2022) Researching Information Systems and Computing. 2nd edition. Sage. ISBN 978-1-5297-3269-6. Second text, used for methods selection and for ethics: strategy selection, the design-and-creation strategy that most pathway projects follow, evaluation, and research ethics. Dependency: written for research projects at and above this level; directed reading is bounded to the strategy, evaluation and ethics chapters.</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The project handbook: submission requirements, the build-log format, the demonstration and viva protocol, the marking scheme, and a worked set of past scope statements with commentary on why each was or was not deliverable.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supervision is by pathway domain staff. This module cannot be supervised generically: a supervisor without the relevant domain competence cannot judge whether a scope is deliverable, cannot read a build log critically, and cannot examine at viva. The supervisor allocation ratio is a resourcing decision that determines whether the 21 supervision hours are real, and it is named here rather than assumed.</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2026-07-22T03:24:18.096Z</dcterms:created>
  <dcterms:modified xsi:type="dcterms:W3CDTF">2026-07-22T03:24:18.107Z</dcterms:modified>
</cp:coreProperties>
</file>

<file path=docProps/custom.xml><?xml version="1.0" encoding="utf-8"?>
<Properties xmlns="http://schemas.openxmlformats.org/officeDocument/2006/custom-properties" xmlns:vt="http://schemas.openxmlformats.org/officeDocument/2006/docPropsVTypes"/>
</file>