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Industrial Training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NB-SOCE-L4-AD-SK-02</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Industrial Training (External Sourced or NIBM Breeding)</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skills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5 credits; 500 notional hours. Industrial Training applies the institution’s convention of 100 notional hours per credit, not the 50-hour convention used for taught modules.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Professional practice and workplace competence, feeding the degree Project and graduate employment. This is a professional-practice claim rather than a taught-content one.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Placement readiness supported by the Year 1 and Year 2 skills provision, with central oversight of placement arrangement.</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Induction in 3-hour blocks; supervised workplace placement; scheduled supervision touchpoints; reporting, and a closing viva</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 and competency evidence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This module is the programme’s principal source of workplace competency evidence. The placement log, the placement report and the viva record are auditable artefacts of competence demonstrated in an employment setting, which is the evidence class a vocational accreditation regime asks for and which no taught module can supply. The accrediting authority’s requirements are not yet final and additional requirements may be introduced; the evidence format is held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places the student inside a working organisation for approximately twelve weeks and holds them to professional standards there. It is the only place in the programme where competence is demonstrated in conditions the School does not control, against work the School did not set, judged by people who are not academics.</w:t>
      </w:r>
    </w:p>
    <w:p>
      <w:pPr>
        <w:spacing w:after="80" w:before="80"/>
      </w:pPr>
      <w:r>
        <w:rPr>
          <w:rFonts w:ascii="Open Sans" w:cs="Open Sans" w:eastAsia="Open Sans" w:hAnsi="Open Sans"/>
          <w:b w:val="false"/>
          <w:bCs w:val="false"/>
          <w:i w:val="false"/>
          <w:iCs w:val="false"/>
          <w:color w:val="000000"/>
          <w:sz w:val="20"/>
          <w:szCs w:val="20"/>
        </w:rPr>
        <w:t xml:space="preserve">That is its value, and it is why the evidence it generates differs in kind from everything else in the award. A taught module can evidence that a student can do something; a placement evidences that they did it, in an organisation, to that organisation’s satisfaction. For a programme pursuing vocational accreditation, this module carries the weight.</w:t>
      </w:r>
    </w:p>
    <w:p>
      <w:pPr>
        <w:spacing w:after="80" w:before="80"/>
      </w:pPr>
      <w:r>
        <w:rPr>
          <w:rFonts w:ascii="Open Sans" w:cs="Open Sans" w:eastAsia="Open Sans" w:hAnsi="Open Sans"/>
          <w:b w:val="false"/>
          <w:bCs w:val="false"/>
          <w:i w:val="false"/>
          <w:iCs w:val="false"/>
          <w:color w:val="000000"/>
          <w:sz w:val="20"/>
          <w:szCs w:val="20"/>
        </w:rPr>
        <w:t xml:space="preserve">The design consequence is that the module’s academic apparatus is deliberately light and its evidence discipline is deliberately heavy. There is no syllabus. There are three artefacts, and each has a job: the log records what was actually done while it is still accurate, the report makes sense of it, and the viva confirms that the student can account for both.</w:t>
      </w:r>
    </w:p>
    <w:p>
      <w:pPr>
        <w:spacing w:after="80" w:before="80"/>
      </w:pPr>
      <w:r>
        <w:rPr>
          <w:rFonts w:ascii="Open Sans" w:cs="Open Sans" w:eastAsia="Open Sans" w:hAnsi="Open Sans"/>
          <w:b w:val="false"/>
          <w:bCs w:val="false"/>
          <w:i w:val="false"/>
          <w:iCs w:val="false"/>
          <w:color w:val="000000"/>
          <w:sz w:val="20"/>
          <w:szCs w:val="20"/>
        </w:rPr>
        <w:t xml:space="preserve">The honest limit: placement quality varies, and the School controls the preparation, the touchpoints and the assessment but not the work. The touchpoint schedule exists to identify a placement that is not delivering while there is still time to act.</w:t>
      </w:r>
    </w:p>
    <w:p>
      <w:pPr>
        <w:spacing w:after="80" w:before="80"/>
      </w:pPr>
      <w:r>
        <w:rPr>
          <w:rFonts w:ascii="Open Sans" w:cs="Open Sans" w:eastAsia="Open Sans" w:hAnsi="Open Sans"/>
          <w:b w:val="false"/>
          <w:bCs w:val="false"/>
          <w:i w:val="false"/>
          <w:iCs w:val="false"/>
          <w:color w:val="000000"/>
          <w:sz w:val="20"/>
          <w:szCs w:val="20"/>
        </w:rPr>
        <w:t xml:space="preserve">The placement block is scheduled outside teaching weeks. This is a fixed commitment across the programme and the basis on which the Year 2 in-teaching load sits below Year 1; it is a workload commitment rather than a scheduling preference and is not alterable locally.</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supervised industry placement; induction; workplace competence; reporting and viva.</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taught pathway content.</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pathway competencies in a workplace setting to tasks assigned by the host organisation.</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Operate professionally within an organisation, exercising personal and delegated responsibility.</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Document and reflect on the placement against the competencies it was intended to evidence.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Understand and reflect</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Programme structure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5600"/>
        <w:gridCol w:w="1500"/>
      </w:tblGrid>
      <w:tr>
        <w:trPr>
          <w:tblHeader/>
        </w:trPr>
        <w:tc>
          <w:tcPr>
            <w:tcW w:type="dxa" w:w="1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5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1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Induction and placement preparation</w:t>
            </w:r>
          </w:p>
        </w:tc>
        <w:tc>
          <w:tcPr>
            <w:tcW w:type="dxa" w:w="5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Three 3-hour blocks: placement expectations and conduct, covering the student’s obligations to the host, the School’s obligations to both, and the escalation route when a placement is not working; the evidence discipline, covering what the log must record, when it must be written, and why a log reconstructed afterwards is worthless as evidence; professional practice in an employment setting, covering confidentiality and data handling, workplace safety and conduct expectations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1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Placement (External Sourced or NIBM Breeding)</w:t>
            </w:r>
          </w:p>
        </w:tc>
        <w:tc>
          <w:tcPr>
            <w:tcW w:type="dxa" w:w="5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Approximately twelve weeks full-time, sourced either externally or through internal placement provision, scheduled outside teaching weeks. Work is assigned by the host organisation; the School does not set it and does not assess it directly, but holds it against the placement agreement at each touchpoint</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458</w:t>
            </w:r>
          </w:p>
        </w:tc>
      </w:tr>
      <w:tr>
        <w:tc>
          <w:tcPr>
            <w:tcW w:type="dxa" w:w="1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Supervision touchpoints</w:t>
            </w:r>
          </w:p>
        </w:tc>
        <w:tc>
          <w:tcPr>
            <w:tcW w:type="dxa" w:w="5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Four 3-hour scheduled contacts across the placement, structured so that an early touchpoint can identify a placement not delivering against the agreement while there is still time to intervene. Touchpoints are records as well as support and evidence continuous School oversight</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1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Reporting and assessment</w:t>
            </w:r>
          </w:p>
        </w:tc>
        <w:tc>
          <w:tcPr>
            <w:tcW w:type="dxa" w:w="5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Preparation and submission of the placement log and report, and the closing viva</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21</w:t>
            </w:r>
          </w:p>
        </w:tc>
      </w:tr>
      <w:tr>
        <w:tc>
          <w:tcPr>
            <w:tcW w:type="dxa" w:w="19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5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500</w:t>
            </w:r>
          </w:p>
        </w:tc>
      </w:tr>
    </w:tbl>
    <w:p>
      <w:pPr>
        <w:spacing w:after="80" w:before="80"/>
      </w:pPr>
      <w:r>
        <w:rPr>
          <w:rFonts w:ascii="Open Sans" w:cs="Open Sans" w:eastAsia="Open Sans" w:hAnsi="Open Sans"/>
          <w:b w:val="false"/>
          <w:bCs w:val="false"/>
          <w:i w:val="false"/>
          <w:iCs w:val="false"/>
          <w:color w:val="000000"/>
          <w:sz w:val="20"/>
          <w:szCs w:val="20"/>
        </w:rPr>
        <w:t xml:space="preserve">Convention note: the 500-hour total reflects the Industrial Training convention of 100 notional hours per credit, not the 50-hour convention applied to taught modules.</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Induction and placement preparation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Placement (External Sourced or NIBM Breeding)</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458</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Supervision touchpoints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Reporting and assessment (log, report, viva)</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21</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500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Placement completion: completion of the placement to the terms of the placement agreement, confirmed by the host organisation and the School</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by the host organisation; pass or fail</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LO2</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Pass/fail</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Individually maintained placement log, written contemporaneously across the placement and recording tasks undertaken, competencies exercised and supervision received</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none</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30%</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Placement report: an account of the organisation, the work undertaken, the competencies evidenced, and a reflection against the competencies the placement was intended to evidence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viva-defence, mandatory and closing</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70%</w:t>
            </w:r>
          </w:p>
        </w:tc>
      </w:tr>
    </w:tbl>
    <w:p>
      <w:pPr>
        <w:spacing w:after="80" w:before="80"/>
      </w:pPr>
      <w:r>
        <w:rPr>
          <w:rFonts w:ascii="Open Sans" w:cs="Open Sans" w:eastAsia="Open Sans" w:hAnsi="Open Sans"/>
          <w:b w:val="false"/>
          <w:bCs w:val="false"/>
          <w:i w:val="false"/>
          <w:iCs w:val="false"/>
          <w:color w:val="000000"/>
          <w:sz w:val="20"/>
          <w:szCs w:val="20"/>
        </w:rPr>
        <w:t xml:space="preserve">Graded weights sum to 100. The placement-completion component carries no percentage weight and is a threshold condition for completing the module.</w:t>
      </w:r>
    </w:p>
    <w:p>
      <w:pPr>
        <w:spacing w:after="80" w:before="80"/>
      </w:pPr>
      <w:r>
        <w:rPr>
          <w:rFonts w:ascii="Open Sans" w:cs="Open Sans" w:eastAsia="Open Sans" w:hAnsi="Open Sans"/>
          <w:b w:val="false"/>
          <w:bCs w:val="false"/>
          <w:i w:val="false"/>
          <w:iCs w:val="false"/>
          <w:color w:val="000000"/>
          <w:sz w:val="20"/>
          <w:szCs w:val="20"/>
        </w:rPr>
        <w:t xml:space="preserve">Placement completion is assessed pass or fail because it is a threshold competency claim rather than a performance to be ranked: either the student completed a supervised placement to the terms agreed or they did not, and a percentage grade would imply a comparability across host organisations that does not exist. Grading it would also weaken the evidence, since an auditable claim that a placement was completed is stronger than a mark whose basis varies by employer.</w:t>
      </w:r>
    </w:p>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and by the structure fixed across the programme.</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with one practical constraint recorded: the log and report are reassessable, and placement completion is not reassessable within the same placement. A failed completion requires a further placement, which is a scheduling and provision question rather than an assessment one.</w:t>
      </w:r>
    </w:p>
    <w:p>
      <w:pPr>
        <w:spacing w:after="80" w:before="80"/>
      </w:pPr>
      <w:r>
        <w:rPr>
          <w:rFonts w:ascii="Open Sans" w:cs="Open Sans" w:eastAsia="Open Sans" w:hAnsi="Open Sans"/>
          <w:b w:val="false"/>
          <w:bCs w:val="false"/>
          <w:i w:val="false"/>
          <w:iCs w:val="false"/>
          <w:color w:val="000000"/>
          <w:sz w:val="20"/>
          <w:szCs w:val="20"/>
        </w:rPr>
        <w:t xml:space="preserve">The log is contemporaneous evidence and its value depends on its being written as the work happened. Generative-artificial-intelligence assistance in composing a log after the fact defeats the artefact’s purpose and is treated as a breach rather than an undeclared aid. The viva is where the log and report are tested against the student’s actual recall of the placement.</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Gibbs, G. (1988) Learning by Doing: A Guide to Teaching and Learning Methods. Further Education Unit, Oxford Polytechnic. The reflective cycle used as the structure for the reflection section of the report. Dependency: an educational-methods source rather than a student text; students receive the cycle through the School handbook and the citation records its provenance.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Kolb, D. A. (2015) Experiential Learning: Experience as the Source of Learning and Development. 2nd edition. Pearson Education. Used for the induction treatment of how workplace experience becomes learning rather than merely activity. Dependency: a theoretical text; directed reading is bounded to the experiential learning cycle.</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Schön, D. A. (1983) The Reflective Practitioner: How Professionals Think in Action. Basic Books. Reference for the professional-practice framing in the third induction block.</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The placement handbook, which is the operative document for this module: the placement agreement template, the log format and submission schedule, the report structure, the viva protocol, the touchpoint record form, and the escalation procedure. Confirmed at teaching-plan stage. Recorded honestly: placement-specific guidance is necessarily institutional rather than published, so the handbook carries more weight in this module than the reading list does, and its quality is the module’s main controllable variable.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placement oversight is centrally coordinated with pathway domain supervision. The domain requirement is real rather than nominal: judging whether a placement is delivering pathway-relevant work, rather than merely occupying the student, needs a supervisor who knows what pathway-relevant work looks like. A centrally administered placement without domain supervision would satisfy the process and not the outcome.</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2026-07-22T03:24:18.361Z</dcterms:created>
  <dcterms:modified xsi:type="dcterms:W3CDTF">2026-07-22T03:24:18.361Z</dcterms:modified>
</cp:coreProperties>
</file>

<file path=docProps/custom.xml><?xml version="1.0" encoding="utf-8"?>
<Properties xmlns="http://schemas.openxmlformats.org/officeDocument/2006/custom-properties" xmlns:vt="http://schemas.openxmlformats.org/officeDocument/2006/docPropsVTypes"/>
</file>