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Open Sans" w:cs="Open Sans" w:eastAsia="Open Sans" w:hAnsi="Open Sans"/>
          <w:b/>
          <w:bCs/>
          <w:color w:val="000000"/>
          <w:sz w:val="30"/>
          <w:szCs w:val="30"/>
        </w:rPr>
        <w:t xml:space="preserve">Module Descriptor</w:t>
      </w:r>
    </w:p>
    <w:p>
      <w:pPr>
        <w:pBdr>
          <w:bottom w:val="single" w:color="595959" w:sz="8" w:space="6"/>
        </w:pBdr>
        <w:spacing w:after="200" w:before="0"/>
      </w:pPr>
      <w:r>
        <w:rPr>
          <w:rFonts w:ascii="Open Sans" w:cs="Open Sans" w:eastAsia="Open Sans" w:hAnsi="Open Sans"/>
          <w:b/>
          <w:bCs/>
          <w:color w:val="595959"/>
          <w:sz w:val="34"/>
          <w:szCs w:val="34"/>
        </w:rPr>
        <w:t xml:space="preserve">Statistical Methods and Analysis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code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NB-SOCE-L4-AD-TT-01</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Category</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Pathway module, taught</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Programme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BSc Computer Science with Artificial Intelligence and Data Science</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Status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Draft for review, version 1.0</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Date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Sources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School curriculum decision records; Sri Lanka Qualifications Framework (September 2015 edition, University Grants Commission); partner university module descriptors</w:t>
            </w:r>
          </w:p>
        </w:tc>
      </w:tr>
    </w:tbl>
    <w:p>
      <w:pPr>
        <w:spacing w:after="120" w:before="240"/>
      </w:pPr>
      <w:r>
        <w:rPr>
          <w:rFonts w:ascii="Open Sans" w:cs="Open Sans" w:eastAsia="Open Sans" w:hAnsi="Open Sans"/>
          <w:b/>
          <w:bCs/>
          <w:color w:val="000000"/>
          <w:sz w:val="24"/>
          <w:szCs w:val="24"/>
        </w:rPr>
        <w:t xml:space="preserve">1. Module Identity and Architecture</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6600"/>
      </w:tblGrid>
      <w:tr>
        <w:trPr>
          <w:tblHeader/>
        </w:trPr>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Field</w:t>
            </w:r>
          </w:p>
        </w:tc>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Value</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title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Statistical Methods and Analysis</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SLQF level and credits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Level 4 (Year 2); 3 credits; 150 notional hours</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Feeder targets</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NB5018CEM Linear Statistical Models, which this module supplies with the inference base that the partner module extends. This is the closest-coupled progression link in the pathway. The module also underpins NB6003CEM Machine Learning and NB6025CEM Statistical Methods for Data Science, and supplies the inference base for Time Series and Forecasting, which in turn carries the temporal demand of NB6024CEM.</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Prerequisites</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Mathematical Thinking, for foundational probability. Mathematics for Intelligent Systems, for inference-ready probability and matrix fluency.</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Delivery mode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Session-based delivery in 3-hour blocks; 16 lecture sessions plus tutorials, practicals and demonstration</w:t>
            </w:r>
          </w:p>
        </w:tc>
      </w:tr>
      <w:tr>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Progression role</w:t>
            </w:r>
          </w:p>
        </w:tc>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Year 2 pathway module; not a bridging module. Sequenced before Time Series and Forecasting.</w:t>
            </w:r>
          </w:p>
        </w:tc>
      </w:tr>
      <w:tr>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Exit-award relevance</w:t>
            </w:r>
          </w:p>
        </w:tc>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Statistical-inference competency in the pathway profile at Higher National Diploma level. Exit-award requirements remain subject to change and additional requirements may be introduced by the accrediting authority; the specification remains adaptable.</w:t>
            </w:r>
          </w:p>
        </w:tc>
      </w:tr>
    </w:tbl>
    <w:p>
      <w:pPr>
        <w:spacing w:after="120" w:before="240"/>
      </w:pPr>
      <w:r>
        <w:rPr>
          <w:rFonts w:ascii="Open Sans" w:cs="Open Sans" w:eastAsia="Open Sans" w:hAnsi="Open Sans"/>
          <w:b/>
          <w:bCs/>
          <w:color w:val="000000"/>
          <w:sz w:val="24"/>
          <w:szCs w:val="24"/>
        </w:rPr>
        <w:t xml:space="preserve">2. Module Purpose and Aims</w:t>
      </w:r>
    </w:p>
    <w:p>
      <w:pPr>
        <w:spacing w:after="80" w:before="80"/>
      </w:pPr>
      <w:r>
        <w:rPr>
          <w:rFonts w:ascii="Open Sans" w:cs="Open Sans" w:eastAsia="Open Sans" w:hAnsi="Open Sans"/>
          <w:b w:val="false"/>
          <w:bCs w:val="false"/>
          <w:i w:val="false"/>
          <w:iCs w:val="false"/>
          <w:color w:val="000000"/>
          <w:sz w:val="20"/>
          <w:szCs w:val="20"/>
        </w:rPr>
        <w:t xml:space="preserve">This module teaches statistical inference as a way of reasoning under uncertainty, not as a catalogue of tests. Students learn to move from a question to a procedure, to run the procedure competently in software, and to say what the result does and does not license them to claim.</w:t>
      </w:r>
    </w:p>
    <w:p>
      <w:pPr>
        <w:spacing w:after="80" w:before="80"/>
      </w:pPr>
      <w:r>
        <w:rPr>
          <w:rFonts w:ascii="Open Sans" w:cs="Open Sans" w:eastAsia="Open Sans" w:hAnsi="Open Sans"/>
          <w:b w:val="false"/>
          <w:bCs w:val="false"/>
          <w:i w:val="false"/>
          <w:iCs w:val="false"/>
          <w:color w:val="000000"/>
          <w:sz w:val="20"/>
          <w:szCs w:val="20"/>
        </w:rPr>
        <w:t xml:space="preserve">Its position in the programme is unusually load-bearing and this is stated plainly rather than discovered later. The boundary carries a mandatory reach: the module must arrive at simple linear regression and one-way analysis of variance, because the destination module NB5018CEM is written to extend an inference base rather than to introduce one. If this module stops short, the destination does not degrade gracefully. Every design decision below, including the compression of the distributions unit, serves reaching that endpoint properly.</w:t>
      </w:r>
    </w:p>
    <w:p>
      <w:pPr>
        <w:spacing w:after="80" w:before="80"/>
      </w:pPr>
      <w:r>
        <w:rPr>
          <w:rFonts w:ascii="Open Sans" w:cs="Open Sans" w:eastAsia="Open Sans" w:hAnsi="Open Sans"/>
          <w:b w:val="false"/>
          <w:bCs w:val="false"/>
          <w:i w:val="false"/>
          <w:iCs w:val="false"/>
          <w:color w:val="000000"/>
          <w:sz w:val="20"/>
          <w:szCs w:val="20"/>
        </w:rPr>
        <w:t xml:space="preserve">The limit on the other side is equally firm. Multiple regression, two-way analysis of variance and matrix-form estimation are what the destination module adds. Teaching them here would not strengthen the progression link; it would collapse the distinction the link depends on.</w:t>
      </w:r>
    </w:p>
    <w:p>
      <w:pPr>
        <w:spacing w:after="80" w:before="160"/>
      </w:pPr>
      <w:r>
        <w:rPr>
          <w:rFonts w:ascii="Open Sans" w:cs="Open Sans" w:eastAsia="Open Sans" w:hAnsi="Open Sans"/>
          <w:b/>
          <w:bCs/>
          <w:i w:val="false"/>
          <w:iCs w:val="false"/>
          <w:color w:val="000000"/>
          <w:sz w:val="20"/>
          <w:szCs w:val="20"/>
        </w:rPr>
        <w:t xml:space="preserve">Specification boundary</w:t>
      </w:r>
    </w:p>
    <w:tbl>
      <w:tblPr>
        <w:tblW w:type="dxa" w:w="9000"/>
        <w:tblBorders>
          <w:top w:val="none" w:color="FFFFFF" w:sz="0"/>
          <w:left w:val="single" w:color="595959" w:sz="18"/>
          <w:bottom w:val="none" w:color="FFFFFF" w:sz="0"/>
          <w:right w:val="none" w:color="FFFFFF" w:sz="0"/>
          <w:insideH w:val="none" w:color="FFFFFF" w:sz="0"/>
          <w:insideV w:val="none" w:color="FFFFFF" w:sz="0"/>
        </w:tblBorders>
      </w:tblPr>
      <w:tblGrid>
        <w:gridCol w:w="9000"/>
      </w:tblGrid>
      <w:tr>
        <w:tc>
          <w:tcPr>
            <w:tcW w:type="dxa" w:w="9000"/>
            <w:shd w:fill="F7F7F7" w:color="auto" w:val="clear"/>
            <w:tcMar>
              <w:top w:type="dxa" w:w="140"/>
              <w:left w:type="dxa" w:w="200"/>
              <w:bottom w:type="dxa" w:w="140"/>
              <w:right w:type="dxa" w:w="160"/>
            </w:tcMar>
          </w:tcPr>
          <w:p>
            <w:pPr>
              <w:spacing w:after="40" w:before="40"/>
            </w:pPr>
            <w:r>
              <w:rPr>
                <w:rFonts w:ascii="Open Sans" w:cs="Open Sans" w:eastAsia="Open Sans" w:hAnsi="Open Sans"/>
                <w:b/>
                <w:bCs/>
                <w:sz w:val="18"/>
                <w:szCs w:val="18"/>
              </w:rPr>
              <w:t xml:space="preserve">Covers: </w:t>
            </w:r>
            <w:r>
              <w:rPr>
                <w:rFonts w:ascii="Open Sans" w:cs="Open Sans" w:eastAsia="Open Sans" w:hAnsi="Open Sans"/>
                <w:i w:val="false"/>
                <w:iCs w:val="false"/>
                <w:sz w:val="18"/>
                <w:szCs w:val="18"/>
              </w:rPr>
              <w:t xml:space="preserve">descriptive statistics; probability distributions; sampling and estimation; hypothesis testing; correlation; simple linear regression and one-way analysis of variance. The module must reach these so that NB5018CEM genuinely only extends rather than introduces.</w:t>
            </w:r>
          </w:p>
          <w:p>
            <w:pPr>
              <w:spacing w:after="40" w:before="40"/>
            </w:pPr>
            <w:r>
              <w:rPr>
                <w:rFonts w:ascii="Open Sans" w:cs="Open Sans" w:eastAsia="Open Sans" w:hAnsi="Open Sans"/>
                <w:b/>
                <w:bCs/>
                <w:sz w:val="18"/>
                <w:szCs w:val="18"/>
              </w:rPr>
              <w:t xml:space="preserve">Does not cover: </w:t>
            </w:r>
            <w:r>
              <w:rPr>
                <w:rFonts w:ascii="Open Sans" w:cs="Open Sans" w:eastAsia="Open Sans" w:hAnsi="Open Sans"/>
                <w:i w:val="false"/>
                <w:iCs w:val="false"/>
                <w:sz w:val="18"/>
                <w:szCs w:val="18"/>
              </w:rPr>
              <w:t xml:space="preserve">multiple regression, two-way analysis of variance and matrix-form estimation, which NB5018CEM extends; generalised linear models, which are covered by NB6025CEM; time-series models, which are covered by Time Series and Forecasting.</w:t>
            </w:r>
          </w:p>
          <w:p>
            <w:pPr>
              <w:spacing w:after="40" w:before="40"/>
            </w:pPr>
            <w:r>
              <w:rPr>
                <w:rFonts w:ascii="Open Sans" w:cs="Open Sans" w:eastAsia="Open Sans" w:hAnsi="Open Sans"/>
                <w:b/>
                <w:bCs/>
                <w:sz w:val="18"/>
                <w:szCs w:val="18"/>
              </w:rPr>
              <w:t xml:space="preserve"/>
            </w:r>
            <w:r>
              <w:rPr>
                <w:rFonts w:ascii="Open Sans" w:cs="Open Sans" w:eastAsia="Open Sans" w:hAnsi="Open Sans"/>
                <w:i/>
                <w:iCs/>
                <w:sz w:val="18"/>
                <w:szCs w:val="18"/>
              </w:rPr>
              <w:t xml:space="preserve">Changes to this boundary are made only through the School’s formal change-control process, not by amendment of this descriptor.</w:t>
            </w:r>
          </w:p>
        </w:tc>
      </w:tr>
    </w:tbl>
    <w:p>
      <w:pPr>
        <w:spacing w:after="120" w:before="240"/>
      </w:pPr>
      <w:r>
        <w:rPr>
          <w:rFonts w:ascii="Open Sans" w:cs="Open Sans" w:eastAsia="Open Sans" w:hAnsi="Open Sans"/>
          <w:b/>
          <w:bCs/>
          <w:color w:val="000000"/>
          <w:sz w:val="24"/>
          <w:szCs w:val="24"/>
        </w:rPr>
        <w:t xml:space="preserve">3. Learning Outcomes</w:t>
      </w:r>
    </w:p>
    <w:p>
      <w:pPr>
        <w:spacing w:after="80" w:before="80"/>
      </w:pPr>
      <w:r>
        <w:rPr>
          <w:rFonts w:ascii="Open Sans" w:cs="Open Sans" w:eastAsia="Open Sans" w:hAnsi="Open Sans"/>
          <w:b w:val="false"/>
          <w:bCs w:val="false"/>
          <w:i w:val="false"/>
          <w:iCs w:val="false"/>
          <w:color w:val="000000"/>
          <w:sz w:val="20"/>
          <w:szCs w:val="20"/>
        </w:rPr>
        <w:t xml:space="preserve">On successful completion of this module, a student will be able to:</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100"/>
        <w:gridCol w:w="22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Ref</w:t>
            </w:r>
          </w:p>
        </w:tc>
        <w:tc>
          <w:tcPr>
            <w:tcW w:type="dxa" w:w="61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Intended learning outcome</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Level of learning</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Summarise and describe data using statistics appropriate to the variable types and the question asked.</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LO2</w:t>
            </w:r>
          </w:p>
        </w:tc>
        <w:tc>
          <w:tcPr>
            <w:tcW w:type="dxa" w:w="61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 estimation and hypothesis-testing procedures, and interpret the results in terms of the question that prompted them.</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Apply</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LO3</w:t>
            </w:r>
          </w:p>
        </w:tc>
        <w:tc>
          <w:tcPr>
            <w:tcW w:type="dxa" w:w="61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Fit simple linear regression and one-way analysis of variance, interpret the results, and evaluate model adequacy against the assumptions relied on.</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Evaluate</w:t>
            </w:r>
          </w:p>
        </w:tc>
      </w:tr>
    </w:tbl>
    <w:p>
      <w:pPr>
        <w:spacing w:after="120" w:before="240"/>
      </w:pPr>
      <w:r>
        <w:rPr>
          <w:rFonts w:ascii="Open Sans" w:cs="Open Sans" w:eastAsia="Open Sans" w:hAnsi="Open Sans"/>
          <w:b/>
          <w:bCs/>
          <w:color w:val="000000"/>
          <w:sz w:val="24"/>
          <w:szCs w:val="24"/>
        </w:rPr>
        <w:t xml:space="preserve">4. Curriculum and Delivery</w:t>
      </w:r>
    </w:p>
    <w:p>
      <w:pPr>
        <w:spacing w:after="80" w:before="80"/>
      </w:pPr>
      <w:r>
        <w:rPr>
          <w:rFonts w:ascii="Open Sans" w:cs="Open Sans" w:eastAsia="Open Sans" w:hAnsi="Open Sans"/>
          <w:b/>
          <w:bCs/>
          <w:i w:val="false"/>
          <w:iCs w:val="false"/>
          <w:color w:val="000000"/>
          <w:sz w:val="20"/>
          <w:szCs w:val="20"/>
        </w:rPr>
        <w:t xml:space="preserve">Indicative syllabus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6800"/>
        <w:gridCol w:w="1500"/>
      </w:tblGrid>
      <w:tr>
        <w:trPr>
          <w:tblHeader/>
        </w:trPr>
        <w:tc>
          <w:tcPr>
            <w:tcW w:type="dxa" w:w="7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Unit</w:t>
            </w:r>
          </w:p>
        </w:tc>
        <w:tc>
          <w:tcPr>
            <w:tcW w:type="dxa" w:w="6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Content</w:t>
            </w:r>
          </w:p>
        </w:tc>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Lecture hours</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U1</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Descriptive statistics as a discipline: summaries and dispersion matched to variable type, and what a summary conceals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U2</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Probability distributions in use: the discrete and continuous families that inference relies on, and the normal model as a working instrument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U3</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Sampling and estimation: point estimates, standard errors, confidence intervals, and what an interval actually says</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U4</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Hypothesis testing: the logic of the test, one-sample and two-sample procedures, error types, and significance read alongside effect size rather than instead of it</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7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U5</w:t>
            </w:r>
          </w:p>
        </w:tc>
        <w:tc>
          <w:tcPr>
            <w:tcW w:type="dxa" w:w="6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Correlation and simple linear regression: fitting, coefficient interpretation, residual diagnostics, and the assumptions the fit relies on</w:t>
            </w:r>
          </w:p>
        </w:tc>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7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U6</w:t>
            </w:r>
          </w:p>
        </w:tc>
        <w:tc>
          <w:tcPr>
            <w:tcW w:type="dxa" w:w="6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One-way analysis of variance: between-group comparison, the F test, assumptions, and awareness of the post-hoc question</w:t>
            </w:r>
          </w:p>
        </w:tc>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6</w:t>
            </w:r>
          </w:p>
        </w:tc>
      </w:tr>
      <w:tr>
        <w:tc>
          <w:tcPr>
            <w:tcW w:type="dxa" w:w="7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
            </w:r>
          </w:p>
        </w:tc>
        <w:tc>
          <w:tcPr>
            <w:tcW w:type="dxa" w:w="68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lecture hours</w:t>
            </w:r>
          </w:p>
        </w:tc>
        <w:tc>
          <w:tcPr>
            <w:tcW w:type="dxa" w:w="15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48</w:t>
            </w:r>
          </w:p>
        </w:tc>
      </w:tr>
    </w:tbl>
    <w:p>
      <w:pPr>
        <w:spacing w:after="80" w:before="80"/>
      </w:pPr>
      <w:r>
        <w:rPr>
          <w:rFonts w:ascii="Open Sans" w:cs="Open Sans" w:eastAsia="Open Sans" w:hAnsi="Open Sans"/>
          <w:b w:val="false"/>
          <w:bCs w:val="false"/>
          <w:i w:val="false"/>
          <w:iCs w:val="false"/>
          <w:color w:val="000000"/>
          <w:sz w:val="20"/>
          <w:szCs w:val="20"/>
        </w:rPr>
        <w:t xml:space="preserve">Session note: the 48 lecture hours are delivered as 16 sessions of 3 hours, with unit allocations in multiples of 3 so that unit boundaries fall on session boundaries.</w:t>
      </w:r>
    </w:p>
    <w:p>
      <w:pPr>
        <w:spacing w:after="80" w:before="80"/>
      </w:pPr>
      <w:r>
        <w:rPr>
          <w:rFonts w:ascii="Open Sans" w:cs="Open Sans" w:eastAsia="Open Sans" w:hAnsi="Open Sans"/>
          <w:b w:val="false"/>
          <w:bCs w:val="false"/>
          <w:i w:val="false"/>
          <w:iCs w:val="false"/>
          <w:color w:val="000000"/>
          <w:sz w:val="20"/>
          <w:szCs w:val="20"/>
        </w:rPr>
        <w:t xml:space="preserve">Allocation cost, named: unit 2 is compressed to 6 hours. Distributions are supplied twice before this module, by Mathematical Thinking at foundation and by Mathematics for Intelligent Systems at inference-ready level, so the compression is defensible on prerequisite grounds. It remains a real cost and is the trade made so that units 5 and 6 together receive 15 hours. If early cohorts arrive weaker on distributions than the prerequisite sequence assumes, the compression is the first thing that will fail, and the tutorial allocation is where it would be absorbed.</w:t>
      </w:r>
    </w:p>
    <w:p>
      <w:pPr>
        <w:spacing w:after="80" w:before="80"/>
      </w:pPr>
      <w:r>
        <w:rPr>
          <w:rFonts w:ascii="Open Sans" w:cs="Open Sans" w:eastAsia="Open Sans" w:hAnsi="Open Sans"/>
          <w:b w:val="false"/>
          <w:bCs w:val="false"/>
          <w:i w:val="false"/>
          <w:iCs w:val="false"/>
          <w:color w:val="000000"/>
          <w:sz w:val="20"/>
          <w:szCs w:val="20"/>
        </w:rPr>
        <w:t xml:space="preserve">Working-language note: Python throughout for practical work, with the statistical library selected at specification stage. The module teaches procedures and reasoning, not a package.</w:t>
      </w:r>
    </w:p>
    <w:p>
      <w:pPr>
        <w:spacing w:after="80" w:before="160"/>
      </w:pPr>
      <w:r>
        <w:rPr>
          <w:rFonts w:ascii="Open Sans" w:cs="Open Sans" w:eastAsia="Open Sans" w:hAnsi="Open Sans"/>
          <w:b/>
          <w:bCs/>
          <w:i w:val="false"/>
          <w:iCs w:val="false"/>
          <w:color w:val="000000"/>
          <w:sz w:val="20"/>
          <w:szCs w:val="20"/>
        </w:rPr>
        <w:t xml:space="preserve">Teaching and learning hours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6600"/>
        <w:gridCol w:w="2400"/>
      </w:tblGrid>
      <w:tr>
        <w:trPr>
          <w:tblHeader/>
        </w:trPr>
        <w:tc>
          <w:tcPr>
            <w:tcW w:type="dxa" w:w="6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24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Hours</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Lectures</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48</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Tutorials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12</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Practicals and laboratory</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24</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In-class assignments</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9</w:t>
            </w:r>
          </w:p>
        </w:tc>
      </w:tr>
      <w:tr>
        <w:tc>
          <w:tcPr>
            <w:tcW w:type="dxa" w:w="6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Demonstration</w:t>
            </w:r>
          </w:p>
        </w:tc>
        <w:tc>
          <w:tcPr>
            <w:tcW w:type="dxa" w:w="24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3</w:t>
            </w:r>
          </w:p>
        </w:tc>
      </w:tr>
      <w:tr>
        <w:tc>
          <w:tcPr>
            <w:tcW w:type="dxa" w:w="6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Self-guided study</w:t>
            </w:r>
          </w:p>
        </w:tc>
        <w:tc>
          <w:tcPr>
            <w:tcW w:type="dxa" w:w="24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54</w:t>
            </w:r>
          </w:p>
        </w:tc>
      </w:tr>
      <w:tr>
        <w:tc>
          <w:tcPr>
            <w:tcW w:type="dxa" w:w="66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Total notional hours</w:t>
            </w:r>
          </w:p>
        </w:tc>
        <w:tc>
          <w:tcPr>
            <w:tcW w:type="dxa" w:w="2400"/>
            <w:shd w:fill="D9D9D9" w:color="auto" w:val="clear"/>
            <w:tcMar>
              <w:top w:type="dxa" w:w="60"/>
              <w:left w:type="dxa" w:w="100"/>
              <w:bottom w:type="dxa" w:w="60"/>
              <w:right w:type="dxa" w:w="100"/>
            </w:tcMar>
          </w:tcPr>
          <w:p>
            <w:pPr>
              <w:spacing w:after="20" w:before="20"/>
            </w:pPr>
            <w:r>
              <w:rPr>
                <w:rFonts w:ascii="Open Sans" w:cs="Open Sans" w:eastAsia="Open Sans" w:hAnsi="Open Sans"/>
                <w:b/>
                <w:bCs/>
                <w:color w:val="000000"/>
                <w:sz w:val="18"/>
                <w:szCs w:val="18"/>
              </w:rPr>
              <w:t xml:space="preserve">150</w:t>
            </w:r>
          </w:p>
        </w:tc>
      </w:tr>
    </w:tbl>
    <w:p>
      <w:pPr>
        <w:spacing w:after="120" w:before="240"/>
      </w:pPr>
      <w:r>
        <w:rPr>
          <w:rFonts w:ascii="Open Sans" w:cs="Open Sans" w:eastAsia="Open Sans" w:hAnsi="Open Sans"/>
          <w:b/>
          <w:bCs/>
          <w:color w:val="000000"/>
          <w:sz w:val="24"/>
          <w:szCs w:val="24"/>
        </w:rPr>
        <w:t xml:space="preserve">5. Assessment</w:t>
      </w:r>
    </w:p>
    <w:p>
      <w:pPr>
        <w:spacing w:after="80" w:before="80"/>
      </w:pPr>
      <w:r>
        <w:rPr>
          <w:rFonts w:ascii="Open Sans" w:cs="Open Sans" w:eastAsia="Open Sans" w:hAnsi="Open Sans"/>
          <w:b w:val="false"/>
          <w:bCs w:val="false"/>
          <w:i w:val="false"/>
          <w:iCs w:val="false"/>
          <w:color w:val="000000"/>
          <w:sz w:val="20"/>
          <w:szCs w:val="20"/>
        </w:rPr>
        <w:t xml:space="preserve">Weightings are stated below and are confirmed at specification 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3600"/>
        <w:gridCol w:w="2200"/>
        <w:gridCol w:w="900"/>
        <w:gridCol w:w="800"/>
      </w:tblGrid>
      <w:tr>
        <w:trPr>
          <w:tblHeader/>
        </w:trPr>
        <w:tc>
          <w:tcPr>
            <w:tcW w:type="dxa" w:w="15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Component</w:t>
            </w:r>
          </w:p>
        </w:tc>
        <w:tc>
          <w:tcPr>
            <w:tcW w:type="dxa" w:w="3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Task</w:t>
            </w:r>
          </w:p>
        </w:tc>
        <w:tc>
          <w:tcPr>
            <w:tcW w:type="dxa" w:w="22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Conditions</w:t>
            </w:r>
          </w:p>
        </w:tc>
        <w:tc>
          <w:tcPr>
            <w:tcW w:type="dxa" w:w="9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Outcomes</w:t>
            </w:r>
          </w:p>
        </w:tc>
        <w:tc>
          <w:tcPr>
            <w:tcW w:type="dxa" w:w="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Weight</w:t>
            </w:r>
          </w:p>
        </w:tc>
      </w:tr>
      <w:tr>
        <w:tc>
          <w:tcPr>
            <w:tcW w:type="dxa" w:w="15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Examination</w:t>
            </w:r>
          </w:p>
        </w:tc>
        <w:tc>
          <w:tcPr>
            <w:tcW w:type="dxa" w:w="3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Unseen end-of-module examination covering the full syllabus: procedure selection, estimation and testing, regression and analysis-of-variance interpretation, and assumption reasoning</w:t>
            </w:r>
          </w:p>
        </w:tc>
        <w:tc>
          <w:tcPr>
            <w:tcW w:type="dxa" w:w="22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Graded</w:t>
            </w:r>
          </w:p>
        </w:tc>
        <w:tc>
          <w:tcPr>
            <w:tcW w:type="dxa" w:w="9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50%</w:t>
            </w:r>
          </w:p>
        </w:tc>
      </w:tr>
      <w:tr>
        <w:tc>
          <w:tcPr>
            <w:tcW w:type="dxa" w:w="15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Coursework</w:t>
            </w:r>
          </w:p>
        </w:tc>
        <w:tc>
          <w:tcPr>
            <w:tcW w:type="dxa" w:w="36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Analysis report on a supplied real dataset: describe the data, estimate and test the stated hypotheses, fit and interpret a simple linear regression and a one-way analysis of variance, and close with an assumption-adequacy section stating where the analysis is and is not warranted. Submitted as a reproducible analysis plus a report of approximately 1,800 words</w:t>
            </w:r>
          </w:p>
        </w:tc>
        <w:tc>
          <w:tcPr>
            <w:tcW w:type="dxa" w:w="22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Individual; take-home; graded; Viva/Presentation: presentation of 12 minutes at demonstration, on the assumption-adequacy section</w:t>
            </w:r>
          </w:p>
        </w:tc>
        <w:tc>
          <w:tcPr>
            <w:tcW w:type="dxa" w:w="9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LO1 to LO3</w:t>
            </w:r>
          </w:p>
        </w:tc>
        <w:tc>
          <w:tcPr>
            <w:tcW w:type="dxa" w:w="8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50%</w:t>
            </w:r>
          </w:p>
        </w:tc>
      </w:tr>
    </w:tbl>
    <w:p>
      <w:pPr>
        <w:spacing w:after="80" w:before="80"/>
      </w:pPr>
      <w:r>
        <w:rPr>
          <w:rFonts w:ascii="Open Sans" w:cs="Open Sans" w:eastAsia="Open Sans" w:hAnsi="Open Sans"/>
          <w:b w:val="false"/>
          <w:bCs w:val="false"/>
          <w:i w:val="false"/>
          <w:iCs w:val="false"/>
          <w:color w:val="000000"/>
          <w:sz w:val="20"/>
          <w:szCs w:val="20"/>
        </w:rPr>
        <w:t xml:space="preserve">An examination is carried because this module is the closest-coupled progression link in the pathway and the destination assumes individual command of procedure selection under constraint. It is also the module in which software can most easily substitute for understanding: a student can produce a correct regression table without knowing when the regression is unwarranted, and the unseen paper is where that gap becomes visible.</w:t>
      </w:r>
    </w:p>
    <w:p>
      <w:pPr>
        <w:spacing w:after="80" w:before="80"/>
      </w:pPr>
      <w:r>
        <w:rPr>
          <w:rFonts w:ascii="Open Sans" w:cs="Open Sans" w:eastAsia="Open Sans" w:hAnsi="Open Sans"/>
          <w:b w:val="false"/>
          <w:bCs w:val="false"/>
          <w:i w:val="false"/>
          <w:iCs w:val="false"/>
          <w:color w:val="000000"/>
          <w:sz w:val="20"/>
          <w:szCs w:val="20"/>
        </w:rPr>
        <w:t xml:space="preserve">Reassessment is by failed component. The analysis report is an open-resource task in which generative-artificial-intelligence assistance must be declared and the interpretation and assumption reasoning written by the student; the presentation is where authorship is tested; the examination is closed to such assistance.</w:t>
      </w:r>
    </w:p>
    <w:p>
      <w:pPr>
        <w:spacing w:after="120" w:before="240"/>
      </w:pPr>
      <w:r>
        <w:rPr>
          <w:rFonts w:ascii="Open Sans" w:cs="Open Sans" w:eastAsia="Open Sans" w:hAnsi="Open Sans"/>
          <w:b/>
          <w:bCs/>
          <w:color w:val="000000"/>
          <w:sz w:val="24"/>
          <w:szCs w:val="24"/>
        </w:rPr>
        <w:t xml:space="preserve">6. Resources, Staff and Governance</w:t>
      </w:r>
    </w:p>
    <w:p>
      <w:pPr>
        <w:spacing w:after="80" w:before="80"/>
      </w:pPr>
      <w:r>
        <w:rPr>
          <w:rFonts w:ascii="Open Sans" w:cs="Open Sans" w:eastAsia="Open Sans" w:hAnsi="Open Sans"/>
          <w:b/>
          <w:bCs/>
          <w:i w:val="false"/>
          <w:iCs w:val="false"/>
          <w:color w:val="000000"/>
          <w:sz w:val="20"/>
          <w:szCs w:val="20"/>
        </w:rPr>
        <w:t xml:space="preserve">Indicative reading</w:t>
      </w:r>
    </w:p>
    <w:p>
      <w:pPr>
        <w:spacing w:after="60" w:before="60"/>
        <w:ind w:left="300" w:hanging="300"/>
      </w:pPr>
      <w:r>
        <w:rPr>
          <w:rFonts w:ascii="Open Sans" w:cs="Open Sans" w:eastAsia="Open Sans" w:hAnsi="Open Sans"/>
          <w:b/>
          <w:bCs/>
          <w:sz w:val="18"/>
          <w:szCs w:val="18"/>
        </w:rPr>
        <w:t xml:space="preserve">Core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Diez, D., Çetinkaya-Rundel, M. and Barr, C. D. (2019) OpenIntro Statistics. 4th edition. OpenIntro. ISBN 978-1-943450-07-7. Primary text for units 1 to 6; freely available at openintro.org/os under a Creative Commons Attribution-ShareAlike licence. Dependency: directed reading stops at the introduction to linear regression and the analysis-of-variance sections. The multiple and logistic regression chapter is outside this module’s boundary and is what NB5018CEM extends; students are told this explicitly so that self-guided reading does not cross the line.</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Bruce, P., Bruce, A. and Gedeck, P. (2020) Practical Statistics for Data Scientists: 50+ Essential Concepts Using R and Python. 2nd edition. O’Reilly Media. Second text, and specifically the inferential chapters, which are excluded from the Applied Data Exploration reading and assigned here. Dependency: dual-language text of which only the Python examples are used.</w:t>
      </w:r>
    </w:p>
    <w:p>
      <w:pPr>
        <w:spacing w:after="60" w:before="60"/>
        <w:ind w:left="300" w:hanging="300"/>
      </w:pPr>
      <w:r>
        <w:rPr>
          <w:rFonts w:ascii="Open Sans" w:cs="Open Sans" w:eastAsia="Open Sans" w:hAnsi="Open Sans"/>
          <w:b/>
          <w:bCs/>
          <w:sz w:val="18"/>
          <w:szCs w:val="18"/>
        </w:rPr>
        <w:t xml:space="preserve">Supplementary</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James, G., Witten, D., Hastie, T., Tibshirani, R. and Taylor, J. (2023) An Introduction to Statistical Learning with Applications in Python. Springer, Springer Texts in Statistics. Used for the simple linear regression treatment only; a publisher-authorised electronic version is available at statlearning.com. Dependency: the text is oriented to prediction rather than inference, which is a useful contrast for the Machine Learning Engineering seam but must not displace the inferential reading.</w:t>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18.05 Introduction to Probability and Statistics, Spring 2014 (J. Orloff and J. Bloom), Massachusetts Institute of Technology. Directed self-guided consolidation for units 3 and 4. Dependency: computational examples are in R and are not used, the conceptual treatment only; the course also carries a substantial Bayesian strand which lies outside this module’s boundary and is not set.</w:t>
      </w:r>
    </w:p>
    <w:p>
      <w:pPr>
        <w:spacing w:after="60" w:before="60"/>
        <w:ind w:left="300" w:hanging="300"/>
      </w:pPr>
      <w:r>
        <w:rPr>
          <w:rFonts w:ascii="Open Sans" w:cs="Open Sans" w:eastAsia="Open Sans" w:hAnsi="Open Sans"/>
          <w:b/>
          <w:bCs/>
          <w:sz w:val="18"/>
          <w:szCs w:val="18"/>
        </w:rPr>
        <w:t xml:space="preserve">School-produced</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Tutorial problem sets, a reproducible analysis template, and a dataset library with documented assumption violations for the diagnostics work. Confirmed at teaching-plan stage.</w:t>
      </w:r>
    </w:p>
    <w:p>
      <w:pPr>
        <w:spacing w:after="60" w:before="60"/>
        <w:ind w:left="300" w:hanging="300"/>
      </w:pPr>
      <w:r>
        <w:rPr>
          <w:rFonts w:ascii="Open Sans" w:cs="Open Sans" w:eastAsia="Open Sans" w:hAnsi="Open Sans"/>
          <w:b/>
          <w:bCs/>
          <w:sz w:val="18"/>
          <w:szCs w:val="18"/>
        </w:rPr>
        <w:t xml:space="preserve">Licensing note</w:t>
      </w:r>
      <w:r>
        <w:rPr>
          <w:rFonts w:ascii="Open Sans" w:cs="Open Sans" w:eastAsia="Open Sans" w:hAnsi="Open Sans"/>
          <w:sz w:val="18"/>
          <w:szCs w:val="18"/>
        </w:rPr>
        <w:t xml:space="preserve"/>
      </w:r>
    </w:p>
    <w:p>
      <w:pPr>
        <w:spacing w:after="60" w:before="60"/>
        <w:ind w:left="300" w:hanging="300"/>
      </w:pPr>
      <w:r>
        <w:rPr>
          <w:rFonts w:ascii="Open Sans" w:cs="Open Sans" w:eastAsia="Open Sans" w:hAnsi="Open Sans"/>
          <w:b/>
          <w:bCs/>
          <w:sz w:val="18"/>
          <w:szCs w:val="18"/>
        </w:rPr>
        <w:t xml:space="preserve"/>
      </w:r>
      <w:r>
        <w:rPr>
          <w:rFonts w:ascii="Open Sans" w:cs="Open Sans" w:eastAsia="Open Sans" w:hAnsi="Open Sans"/>
          <w:sz w:val="18"/>
          <w:szCs w:val="18"/>
        </w:rPr>
        <w:t xml:space="preserve">MIT OpenCourseWare materials are published under a Creative Commons Attribution-NonCommercial-ShareAlike licence and are cited as directed study resources accessed at source. OpenIntro Statistics is Attribution-ShareAlike, which does permit reuse inside School materials subject to attribution and share-alike terms; that difference makes OpenIntro the more practical basis for School-produced worksheets. Any such incorporation is confirmed at teaching-plan stage.</w:t>
      </w:r>
    </w:p>
    <w:p>
      <w:pPr>
        <w:spacing w:after="80" w:before="200"/>
      </w:pPr>
      <w:r>
        <w:rPr>
          <w:rFonts w:ascii="Open Sans" w:cs="Open Sans" w:eastAsia="Open Sans" w:hAnsi="Open Sans"/>
          <w:b/>
          <w:bCs/>
          <w:i w:val="false"/>
          <w:iCs w:val="false"/>
          <w:color w:val="000000"/>
          <w:sz w:val="20"/>
          <w:szCs w:val="20"/>
        </w:rPr>
        <w:t xml:space="preserve">Staffing</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3000"/>
        <w:gridCol w:w="3000"/>
        <w:gridCol w:w="3000"/>
      </w:tblGrid>
      <w:tr>
        <w:trPr>
          <w:tblHeader/>
        </w:trPr>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Role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Name</w:t>
            </w:r>
          </w:p>
        </w:tc>
        <w:tc>
          <w:tcPr>
            <w:tcW w:type="dxa" w:w="30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Domain credential</w:t>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1</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Module leader 2</w:t>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shd w:fill="F2F2F2" w:color="auto" w:val="clear"/>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r>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External module auditor</w:t>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c>
          <w:tcPr>
            <w:tcW w:type="dxa" w:w="30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
            </w:r>
          </w:p>
        </w:tc>
      </w:tr>
    </w:tbl>
    <w:p>
      <w:pPr>
        <w:spacing w:after="80" w:before="140"/>
      </w:pPr>
      <w:r>
        <w:rPr>
          <w:rFonts w:ascii="Open Sans" w:cs="Open Sans" w:eastAsia="Open Sans" w:hAnsi="Open Sans"/>
          <w:b w:val="false"/>
          <w:bCs w:val="false"/>
          <w:i w:val="false"/>
          <w:iCs w:val="false"/>
          <w:color w:val="000000"/>
          <w:sz w:val="20"/>
          <w:szCs w:val="20"/>
        </w:rPr>
        <w:t xml:space="preserve">Domain-expertise statement: delivery requires statistics and data-analysis expertise. Shared staffing with Time Series and Forecasting is the natural arrangement, since that module consumes this one’s inference base directly. The progression link to NB5018CEM makes this the least forgiving module in the pathway to staff generically.</w:t>
      </w:r>
    </w:p>
    <w:p>
      <w:pPr>
        <w:spacing w:after="80" w:before="200"/>
      </w:pPr>
      <w:r>
        <w:rPr>
          <w:rFonts w:ascii="Open Sans" w:cs="Open Sans" w:eastAsia="Open Sans" w:hAnsi="Open Sans"/>
          <w:b/>
          <w:bCs/>
          <w:i w:val="false"/>
          <w:iCs w:val="false"/>
          <w:color w:val="000000"/>
          <w:sz w:val="20"/>
          <w:szCs w:val="20"/>
        </w:rPr>
        <w:t xml:space="preserve">Sign-off</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800"/>
        <w:gridCol w:w="2600"/>
        <w:gridCol w:w="4600"/>
      </w:tblGrid>
      <w:tr>
        <w:trPr>
          <w:tblHeader/>
        </w:trPr>
        <w:tc>
          <w:tcPr>
            <w:tcW w:type="dxa" w:w="18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Version</w:t>
            </w:r>
          </w:p>
        </w:tc>
        <w:tc>
          <w:tcPr>
            <w:tcW w:type="dxa" w:w="2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Date</w:t>
            </w:r>
          </w:p>
        </w:tc>
        <w:tc>
          <w:tcPr>
            <w:tcW w:type="dxa" w:w="4600"/>
            <w:shd w:fill="595959" w:color="auto" w:val="clear"/>
            <w:tcMar>
              <w:top w:type="dxa" w:w="60"/>
              <w:left w:type="dxa" w:w="100"/>
              <w:bottom w:type="dxa" w:w="60"/>
              <w:right w:type="dxa" w:w="100"/>
            </w:tcMar>
          </w:tcPr>
          <w:p>
            <w:pPr>
              <w:spacing w:after="20" w:before="20"/>
            </w:pPr>
            <w:r>
              <w:rPr>
                <w:rFonts w:ascii="Open Sans" w:cs="Open Sans" w:eastAsia="Open Sans" w:hAnsi="Open Sans"/>
                <w:b/>
                <w:bCs/>
                <w:color w:val="FFFFFF"/>
                <w:sz w:val="18"/>
                <w:szCs w:val="18"/>
              </w:rPr>
              <w:t xml:space="preserve">Status</w:t>
            </w:r>
          </w:p>
        </w:tc>
      </w:tr>
      <w:tr>
        <w:tc>
          <w:tcPr>
            <w:tcW w:type="dxa" w:w="18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1.0</w:t>
            </w:r>
          </w:p>
        </w:tc>
        <w:tc>
          <w:tcPr>
            <w:tcW w:type="dxa" w:w="2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22 July 2026</w:t>
            </w:r>
          </w:p>
        </w:tc>
        <w:tc>
          <w:tcPr>
            <w:tcW w:type="dxa" w:w="4600"/>
            <w:tcMar>
              <w:top w:type="dxa" w:w="60"/>
              <w:left w:type="dxa" w:w="100"/>
              <w:bottom w:type="dxa" w:w="60"/>
              <w:right w:type="dxa" w:w="100"/>
            </w:tcMar>
          </w:tcPr>
          <w:p>
            <w:pPr>
              <w:spacing w:after="20" w:before="20"/>
            </w:pPr>
            <w:r>
              <w:rPr>
                <w:rFonts w:ascii="Open Sans" w:cs="Open Sans" w:eastAsia="Open Sans" w:hAnsi="Open Sans"/>
                <w:b w:val="false"/>
                <w:bCs w:val="false"/>
                <w:color w:val="000000"/>
                <w:sz w:val="18"/>
                <w:szCs w:val="18"/>
              </w:rPr>
              <w:t xml:space="preserve">Issued for review</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2026-07-22T03:12:16.456Z</dcterms:created>
  <dcterms:modified xsi:type="dcterms:W3CDTF">2026-07-22T03:12:16.476Z</dcterms:modified>
</cp:coreProperties>
</file>

<file path=docProps/custom.xml><?xml version="1.0" encoding="utf-8"?>
<Properties xmlns="http://schemas.openxmlformats.org/officeDocument/2006/custom-properties" xmlns:vt="http://schemas.openxmlformats.org/officeDocument/2006/docPropsVTypes"/>
</file>