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Machine Learning Engineering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NB-SOCE-L4-AD-TT-02</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Machine Learning Engineering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4 credits; 200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NB6003CEM Machine Learning, on both destinations. The module also seeds the concepts that allow the partner university to sequence Neural Networks in Semester 1 ahead of Machine Learning in Semester 2 without the student meeting deep learning cold.</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Mathematics for Intelligent Systems, for linear algebra, gradient intuition and probability. Applied Data Exploration, for data handling and the Python data stack. Programming Concepts.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22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Core applied machine-learning competency in the pathway profile at Higher National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makes the word Engineering in its title true. It is not a survey of algorithms. It teaches the machine-learning lifecycle as a discipline: framing a problem so that a model can answer it, preparing data without leaking the answer into the features, training and tuning candidate models, choosing between them on evidence rather than on preference, and understanding what happens to a model once it leaves development.</w:t>
      </w:r>
    </w:p>
    <w:p>
      <w:pPr>
        <w:spacing w:after="80" w:before="80"/>
      </w:pPr>
      <w:r>
        <w:rPr>
          <w:rFonts w:ascii="Open Sans" w:cs="Open Sans" w:eastAsia="Open Sans" w:hAnsi="Open Sans"/>
          <w:b w:val="false"/>
          <w:bCs w:val="false"/>
          <w:i w:val="false"/>
          <w:iCs w:val="false"/>
          <w:color w:val="000000"/>
          <w:sz w:val="20"/>
          <w:szCs w:val="20"/>
        </w:rPr>
        <w:t xml:space="preserve">The scope is drawn tightly on two sides and both limits matter. Deep-learning architectures belong to Applied Artificial Intelligence, so the model families here are the classical supervised and unsupervised ones. Serving infrastructure belongs to Web and API Technologies, so this module reaches packaging, the shape of a serving interface, and the constraints a serving context imposes, and stops there. That awareness-level treatment is deliberate: it makes the lifecycle claim honest without duplicating a module that already owns serving.</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the machine-learning lifecycle; supervised and unsupervised foundations; model training, evaluation and tuning; production-level Python and data stack, including scikit-learn; introduction to model deployment and serving at awareness level, so that the engineering claim in the title is honoured.</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deep-learning architectures, which are covered by Applied Artificial Intelligence; model-serving infrastructure depth, which is owned by Web and API Technologies; symbolic reasoning, which is covered by Intelligent Systems and Reasoning.</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 and evaluate supervised and unsupervised models on real data.</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and evaluate</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the machine-learning lifecycle to a real dataset, from problem framing through to a validated model.</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Tune and compare candidate models using metrics appropriate to the question asked, and justify the selection made.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Analyse and evaluate</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LO4</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Explain how a trained model is packaged and served, and identify the constraints that a serving context places on model choice.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machine-learning lifecycle: problem framing, data readiness, target leakage, train and test discipline, and what counts as finished</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foundations: regression and classification families, the bias and variance account, under-fitting and over-fitting read through learning behaviour</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Unsupervised foundations: clustering and dimension reduction used as instruments on real data, and the interpretation problem they carry</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Evaluation and metric selection: resampling and cross-validation, class imbalance, and matching the metric to the question the model is answering</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Tuning and model selection: hyperparameters, search strategies, and the discipline of an honest comparison between candidates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U6</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Packaging and serving at awareness level: persisting a trained model, the shape of a serving interface, and the constraints a serving context places on model choice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66</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66 lecture hours are delivered as 22 sessions of 3 hours, with unit allocations in multiples of 3 so that unit boundaries fall on session boundaries. Unit 6 is capped at 9 hours by the specification boundary rather than by convenience.</w:t>
      </w:r>
    </w:p>
    <w:p>
      <w:pPr>
        <w:spacing w:after="80" w:before="80"/>
      </w:pPr>
      <w:r>
        <w:rPr>
          <w:rFonts w:ascii="Open Sans" w:cs="Open Sans" w:eastAsia="Open Sans" w:hAnsi="Open Sans"/>
          <w:b w:val="false"/>
          <w:bCs w:val="false"/>
          <w:i w:val="false"/>
          <w:iCs w:val="false"/>
          <w:color w:val="000000"/>
          <w:sz w:val="20"/>
          <w:szCs w:val="20"/>
        </w:rPr>
        <w:t xml:space="preserve">Level of learning note: outcome LO4 is stated at explanatory level because the specification boundary caps deployment and serving at awareness and assigns serving depth to Web and API Technologies. The analytical demand expected at Level 4 is carried by outcomes LO1 and LO3, which require evaluation, comparison and justified selection.</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at production level, with scikit-learn as the working library. Students arrive with Python continuity from first exposure, so no tooling onboarding is carried by this module.</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74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200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Lifecycle project on a supplied real dataset: frame the problem, prepare the data with leakage controls stated, train at least three candidate models, tune and compare them, select one on stated evidence, and close with a packaging and serving note. Submitted as a repository plus a report of approximately 2,000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15 minutes at demonstration, defending the model selection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LO4</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55%</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 (in-class)</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open-resource applied test on evaluation and metric selection: given scenarios and result sets, choose and justify metrics, diagnose over-fitting and leakage, and read a comparison honestly</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25%</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build, tune and evaluate a model on an unseen dataset within a fixed session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LO2</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breadth of this module is real, but the capability it certifies is judgment exercised on data and on results, which the supervised in-class test evidences under constraint in the medium the judgment lives in. An unseen written paper would test recall of metric definitions rather than the ability to choose between them.</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lifecycle project is an open-resource task in which generative-artificial-intelligence assistance must be declared and the modelling decisions evidenced in the student’s own words; the presentation defends the selection and is where authorship is tested; the in-class test and the laboratory assessment are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Géron, A. (2022) Hands-On Machine Learning with Scikit-Learn, Keras and TensorFlow. 3rd edition. O’Reilly Media. ISBN 978-1-098-12597-4. Primary text for units 1 to 5. Dependency: the later chapters cover Keras and TensorFlow deep learning, which belong to Applied Artificial Intelligence and are not set here.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James, G., Witten, D., Hastie, T., Tibshirani, R. and Taylor, J. (2023) An Introduction to Statistical Learning with Applications in Python. Springer, Springer Texts in Statistics. Second text for units 2 to 5, used for the bias and variance account and for resampling. A publisher-authorised electronic version is available at statlearning.com.</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Huyen, C. (2022) Designing Machine Learning Systems. O’Reilly Media. Used for units 1 and 6 only, at awareness level. Dependency: this text reaches beyond the module boundary into serving and production infrastructure; set reading is bounded to the lifecycle and packaging chapters, and students are told that the deployment chapters belong to Web and API Technologies.</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6.036 Introduction to Machine Learning, Fall 2020, Massachusetts Institute of Technology. Directed self-guided consolidation for units 2 and 4. Dependency: materials are delivered through the MIT Open Learning Library, free to use with enrolment optional; the subject has since been renumbered 6.390 and citations should be read against the Fall 2020 publication.</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Laboratory datasets with documented provenance and known leakage traps, a model-comparison template, and a packaging worksheet.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applied machine-learning engineering expertise, including practical experience of model selection and of what breaks when a model leaves development. The distinction from Applied Artificial Intelligence must be held in delivery as well as on paper, since apparent overlap between the two is the most likely challenge at validation.</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2026-07-22T02:15:23.275Z</dcterms:created>
  <dcterms:modified xsi:type="dcterms:W3CDTF">2026-07-22T02:15:23.277Z</dcterms:modified>
</cp:coreProperties>
</file>

<file path=docProps/custom.xml><?xml version="1.0" encoding="utf-8"?>
<Properties xmlns="http://schemas.openxmlformats.org/officeDocument/2006/custom-properties" xmlns:vt="http://schemas.openxmlformats.org/officeDocument/2006/docPropsVTypes"/>
</file>