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Open Sans" w:cs="Open Sans" w:eastAsia="Open Sans" w:hAnsi="Open Sans"/>
          <w:b/>
          <w:bCs/>
          <w:color w:val="000000"/>
          <w:sz w:val="30"/>
          <w:szCs w:val="30"/>
        </w:rPr>
        <w:t xml:space="preserve">Module Descriptor</w:t>
      </w:r>
    </w:p>
    <w:p>
      <w:pPr>
        <w:pBdr>
          <w:bottom w:val="single" w:color="595959" w:sz="8" w:space="6"/>
        </w:pBdr>
        <w:spacing w:after="200" w:before="0"/>
      </w:pPr>
      <w:r>
        <w:rPr>
          <w:rFonts w:ascii="Open Sans" w:cs="Open Sans" w:eastAsia="Open Sans" w:hAnsi="Open Sans"/>
          <w:b/>
          <w:bCs/>
          <w:color w:val="595959"/>
          <w:sz w:val="34"/>
          <w:szCs w:val="34"/>
        </w:rPr>
        <w:t xml:space="preserve">Applied Artificial Intelligence</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code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NB-SOCE-L4-AD-TT-03</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Category</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Pathway module, taught</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Programme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BSc Computer Science with Artificial Intelligence and Data Science</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Status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Draft for review, version 1.0</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Date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Sources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School curriculum decision records; Sri Lanka Qualifications Framework (September 2015 edition, University Grants Commission); partner university module descriptors</w:t>
            </w:r>
          </w:p>
        </w:tc>
      </w:tr>
    </w:tbl>
    <w:p>
      <w:pPr>
        <w:spacing w:after="120" w:before="240"/>
      </w:pPr>
      <w:r>
        <w:rPr>
          <w:rFonts w:ascii="Open Sans" w:cs="Open Sans" w:eastAsia="Open Sans" w:hAnsi="Open Sans"/>
          <w:b/>
          <w:bCs/>
          <w:color w:val="000000"/>
          <w:sz w:val="24"/>
          <w:szCs w:val="24"/>
        </w:rPr>
        <w:t xml:space="preserve">1. Module Identity and Architecture</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title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Applied Artificial Intelligence</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SLQF level and credits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Level 4 (Year 2); 4 credits; 200 notional hours</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Feeder targets</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NB6004CEM Neural Networks, on both destinations. Robots and Intelligent Agents, on the Artificial Intelligence destination. NB6021CEM AI Security, on the Artificial Intelligence destination, which consumes the machine-learning literacy required to attack and defend models.</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Prerequisites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Mathematics for Intelligent Systems, for matrix operations and gradient-descent intuition. Intelligent Systems Foundations, for artificial-intelligence grounding.</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Delivery mode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Session-based delivery in 3-hour blocks; 22 lecture sessions plus tutorials, practicals and demonstration</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Progression role</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Year 2 pathway module; not a bridging module.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Exit-award relevance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Deep-learning and applied artificial-intelligence competency in the pathway profile at Higher National Diploma level; the module carries the destination title into the award record. Exit-award requirements remain subject to change and additional requirements may be introduced by the accrediting authority; the specification remains adaptable.</w:t>
            </w:r>
          </w:p>
        </w:tc>
      </w:tr>
    </w:tbl>
    <w:p>
      <w:pPr>
        <w:spacing w:after="120" w:before="240"/>
      </w:pPr>
      <w:r>
        <w:rPr>
          <w:rFonts w:ascii="Open Sans" w:cs="Open Sans" w:eastAsia="Open Sans" w:hAnsi="Open Sans"/>
          <w:b/>
          <w:bCs/>
          <w:color w:val="000000"/>
          <w:sz w:val="24"/>
          <w:szCs w:val="24"/>
        </w:rPr>
        <w:t xml:space="preserve">2. Module Purpose and Aims</w:t>
      </w:r>
    </w:p>
    <w:p>
      <w:pPr>
        <w:spacing w:after="80" w:before="80"/>
      </w:pPr>
      <w:r>
        <w:rPr>
          <w:rFonts w:ascii="Open Sans" w:cs="Open Sans" w:eastAsia="Open Sans" w:hAnsi="Open Sans"/>
          <w:b w:val="false"/>
          <w:bCs w:val="false"/>
          <w:i w:val="false"/>
          <w:iCs w:val="false"/>
          <w:color w:val="000000"/>
          <w:sz w:val="20"/>
          <w:szCs w:val="20"/>
        </w:rPr>
        <w:t xml:space="preserve">This module is the pathway’s depth owner for neural networks. It takes the gradient intuition supplied by Mathematics for Intelligent Systems and the artificial-intelligence grounding supplied by Intelligent Systems Foundations, and turns them into the ability to build, train, evaluate and reason about deep models in a current framework.</w:t>
      </w:r>
    </w:p>
    <w:p>
      <w:pPr>
        <w:spacing w:after="80" w:before="80"/>
      </w:pPr>
      <w:r>
        <w:rPr>
          <w:rFonts w:ascii="Open Sans" w:cs="Open Sans" w:eastAsia="Open Sans" w:hAnsi="Open Sans"/>
          <w:b w:val="false"/>
          <w:bCs w:val="false"/>
          <w:i w:val="false"/>
          <w:iCs w:val="false"/>
          <w:color w:val="000000"/>
          <w:sz w:val="20"/>
          <w:szCs w:val="20"/>
        </w:rPr>
        <w:t xml:space="preserve">It is deliberately a module about building models rather than consuming them. That distinction is the clearest point of separation from the software-engineering provision, which integrates artificial-intelligence services into applications and does not construct models. Students here train networks, watch them fail, diagnose why, and state what the trained model can and cannot be claimed to do.</w:t>
      </w:r>
    </w:p>
    <w:p>
      <w:pPr>
        <w:spacing w:after="80" w:before="80"/>
      </w:pPr>
      <w:r>
        <w:rPr>
          <w:rFonts w:ascii="Open Sans" w:cs="Open Sans" w:eastAsia="Open Sans" w:hAnsi="Open Sans"/>
          <w:b w:val="false"/>
          <w:bCs w:val="false"/>
          <w:i w:val="false"/>
          <w:iCs w:val="false"/>
          <w:color w:val="000000"/>
          <w:sz w:val="20"/>
          <w:szCs w:val="20"/>
        </w:rPr>
        <w:t xml:space="preserve">The scope limits are the two neighbouring owners. The machine-learning lifecycle and its engineering discipline belong to Machine Learning Engineering; symbolic reasoning and agent architectures belong to Intelligent Systems and Reasoning. Reinforcement learning is named at awareness level only, which is an honest cap: it tells the student the territory exists and prepares the agent-facing destination without pretending to teach it.</w:t>
      </w:r>
    </w:p>
    <w:p>
      <w:pPr>
        <w:spacing w:after="80" w:before="160"/>
      </w:pPr>
      <w:r>
        <w:rPr>
          <w:rFonts w:ascii="Open Sans" w:cs="Open Sans" w:eastAsia="Open Sans" w:hAnsi="Open Sans"/>
          <w:b/>
          <w:bCs/>
          <w:i w:val="false"/>
          <w:iCs w:val="false"/>
          <w:color w:val="000000"/>
          <w:sz w:val="20"/>
          <w:szCs w:val="20"/>
        </w:rPr>
        <w:t xml:space="preserve">Specification boundary</w:t>
      </w:r>
    </w:p>
    <w:tbl>
      <w:tblPr>
        <w:tblW w:type="dxa" w:w="9000"/>
        <w:tblBorders>
          <w:top w:val="none" w:color="FFFFFF" w:sz="0"/>
          <w:left w:val="single" w:color="595959" w:sz="18"/>
          <w:bottom w:val="none" w:color="FFFFFF" w:sz="0"/>
          <w:right w:val="none" w:color="FFFFFF" w:sz="0"/>
          <w:insideH w:val="none" w:color="FFFFFF" w:sz="0"/>
          <w:insideV w:val="none" w:color="FFFFFF" w:sz="0"/>
        </w:tblBorders>
      </w:tblPr>
      <w:tblGrid>
        <w:gridCol w:w="9000"/>
      </w:tblGrid>
      <w:tr>
        <w:tc>
          <w:tcPr>
            <w:tcW w:type="dxa" w:w="9000"/>
            <w:shd w:fill="F7F7F7" w:color="auto" w:val="clear"/>
            <w:tcMar>
              <w:top w:type="dxa" w:w="140"/>
              <w:left w:type="dxa" w:w="200"/>
              <w:bottom w:type="dxa" w:w="140"/>
              <w:right w:type="dxa" w:w="160"/>
            </w:tcMar>
          </w:tcPr>
          <w:p>
            <w:pPr>
              <w:spacing w:after="40" w:before="40"/>
            </w:pPr>
            <w:r>
              <w:rPr>
                <w:rFonts w:ascii="Open Sans" w:cs="Open Sans" w:eastAsia="Open Sans" w:hAnsi="Open Sans"/>
                <w:b/>
                <w:bCs/>
                <w:sz w:val="18"/>
                <w:szCs w:val="18"/>
              </w:rPr>
              <w:t xml:space="preserve">Covers: </w:t>
            </w:r>
            <w:r>
              <w:rPr>
                <w:rFonts w:ascii="Open Sans" w:cs="Open Sans" w:eastAsia="Open Sans" w:hAnsi="Open Sans"/>
                <w:i w:val="false"/>
                <w:iCs w:val="false"/>
                <w:sz w:val="18"/>
                <w:szCs w:val="18"/>
              </w:rPr>
              <w:t xml:space="preserve">neural-network fundamentals; deep-learning architectures at awareness and applied level, including convolutional networks; applied gradient-descent training; deep-learning frameworks; reinforcement learning named at awareness level. Deep learning is the named core of this boundary.</w:t>
            </w:r>
          </w:p>
          <w:p>
            <w:pPr>
              <w:spacing w:after="40" w:before="40"/>
            </w:pPr>
            <w:r>
              <w:rPr>
                <w:rFonts w:ascii="Open Sans" w:cs="Open Sans" w:eastAsia="Open Sans" w:hAnsi="Open Sans"/>
                <w:b/>
                <w:bCs/>
                <w:sz w:val="18"/>
                <w:szCs w:val="18"/>
              </w:rPr>
              <w:t xml:space="preserve">Does not cover: </w:t>
            </w:r>
            <w:r>
              <w:rPr>
                <w:rFonts w:ascii="Open Sans" w:cs="Open Sans" w:eastAsia="Open Sans" w:hAnsi="Open Sans"/>
                <w:i w:val="false"/>
                <w:iCs w:val="false"/>
                <w:sz w:val="18"/>
                <w:szCs w:val="18"/>
              </w:rPr>
              <w:t xml:space="preserve">the machine-learning lifecycle and engineering, which are covered by Machine Learning Engineering; symbolic reasoning and agents, which are covered by Intelligent Systems and Reasoning; artificial-intelligence service consumption and integration, which belong to the software-engineering pathway, this module being the owner of model construction and depth.</w:t>
            </w:r>
          </w:p>
          <w:p>
            <w:pPr>
              <w:spacing w:after="40" w:before="40"/>
            </w:pPr>
            <w:r>
              <w:rPr>
                <w:rFonts w:ascii="Open Sans" w:cs="Open Sans" w:eastAsia="Open Sans" w:hAnsi="Open Sans"/>
                <w:b/>
                <w:bCs/>
                <w:sz w:val="18"/>
                <w:szCs w:val="18"/>
              </w:rPr>
              <w:t xml:space="preserve"/>
            </w:r>
            <w:r>
              <w:rPr>
                <w:rFonts w:ascii="Open Sans" w:cs="Open Sans" w:eastAsia="Open Sans" w:hAnsi="Open Sans"/>
                <w:i/>
                <w:iCs/>
                <w:sz w:val="18"/>
                <w:szCs w:val="18"/>
              </w:rPr>
              <w:t xml:space="preserve">Changes to this boundary are made only through the School’s formal change-control process, not by amendment of this descriptor.</w:t>
            </w:r>
          </w:p>
        </w:tc>
      </w:tr>
    </w:tbl>
    <w:p>
      <w:pPr>
        <w:spacing w:after="120" w:before="240"/>
      </w:pPr>
      <w:r>
        <w:rPr>
          <w:rFonts w:ascii="Open Sans" w:cs="Open Sans" w:eastAsia="Open Sans" w:hAnsi="Open Sans"/>
          <w:b/>
          <w:bCs/>
          <w:color w:val="000000"/>
          <w:sz w:val="24"/>
          <w:szCs w:val="24"/>
        </w:rPr>
        <w:t xml:space="preserve">3. Learning Outcomes</w:t>
      </w:r>
    </w:p>
    <w:p>
      <w:pPr>
        <w:spacing w:after="80" w:before="80"/>
      </w:pPr>
      <w:r>
        <w:rPr>
          <w:rFonts w:ascii="Open Sans" w:cs="Open Sans" w:eastAsia="Open Sans" w:hAnsi="Open Sans"/>
          <w:b w:val="false"/>
          <w:bCs w:val="false"/>
          <w:i w:val="false"/>
          <w:iCs w:val="false"/>
          <w:color w:val="000000"/>
          <w:sz w:val="20"/>
          <w:szCs w:val="20"/>
        </w:rPr>
        <w:t xml:space="preserve">On successful completion of this module, a student will be able to:</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100"/>
        <w:gridCol w:w="22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Ref</w:t>
            </w:r>
          </w:p>
        </w:tc>
        <w:tc>
          <w:tcPr>
            <w:tcW w:type="dxa" w:w="61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Intended learning outcome</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Level of learning</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Analyse the fundamentals of neural networks and compare architecture families against the problem types they suit.</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Analyse</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LO2</w:t>
            </w:r>
          </w:p>
        </w:tc>
        <w:tc>
          <w:tcPr>
            <w:tcW w:type="dxa" w:w="61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Build and train neural-network models using a deep-learning framework.</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LO3</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Evaluate model performance and limitations, and state what a trained model can and cannot be claimed to do.</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Evaluate</w:t>
            </w:r>
          </w:p>
        </w:tc>
      </w:tr>
    </w:tbl>
    <w:p>
      <w:pPr>
        <w:spacing w:after="120" w:before="240"/>
      </w:pPr>
      <w:r>
        <w:rPr>
          <w:rFonts w:ascii="Open Sans" w:cs="Open Sans" w:eastAsia="Open Sans" w:hAnsi="Open Sans"/>
          <w:b/>
          <w:bCs/>
          <w:color w:val="000000"/>
          <w:sz w:val="24"/>
          <w:szCs w:val="24"/>
        </w:rPr>
        <w:t xml:space="preserve">4. Curriculum and Delivery</w:t>
      </w:r>
    </w:p>
    <w:p>
      <w:pPr>
        <w:spacing w:after="80" w:before="80"/>
      </w:pPr>
      <w:r>
        <w:rPr>
          <w:rFonts w:ascii="Open Sans" w:cs="Open Sans" w:eastAsia="Open Sans" w:hAnsi="Open Sans"/>
          <w:b/>
          <w:bCs/>
          <w:i w:val="false"/>
          <w:iCs w:val="false"/>
          <w:color w:val="000000"/>
          <w:sz w:val="20"/>
          <w:szCs w:val="20"/>
        </w:rPr>
        <w:t xml:space="preserve">Indicative syllabus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800"/>
        <w:gridCol w:w="15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Unit</w:t>
            </w:r>
          </w:p>
        </w:tc>
        <w:tc>
          <w:tcPr>
            <w:tcW w:type="dxa" w:w="6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Content</w:t>
            </w:r>
          </w:p>
        </w:tc>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Lecture hours</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U1</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Neural-network fundamentals: the artificial neuron, layers and depth, activation functions, and the forward pass computed by hand before it is computed by a framework</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U2</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Applied gradient-descent training: loss functions, backpropagation read operationally, optimisers, learning-rate behaviour, and what a training curve is telling you</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15</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U3</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Deep-learning frameworks in practice: tensors and automatic differentiation, model definition, the training loop, checkpointing and reproducibility discipline</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U4</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Convolutional networks: convolution and pooling, architecture families and what each was designed to solve, and transfer learning as the realistic route for a taught cohort</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15</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U5</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Evaluation, generalisation and limits: regularisation, augmentation, characteristic failure modes, and the honest statement of what a trained model can be claimed to do</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12</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U6</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Reinforcement learning at awareness level: the agent and environment loop, reward, and how the problem differs from supervised learning</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w:t>
            </w:r>
          </w:p>
        </w:tc>
      </w:tr>
      <w:tr>
        <w:tc>
          <w:tcPr>
            <w:tcW w:type="dxa" w:w="7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
            </w:r>
          </w:p>
        </w:tc>
        <w:tc>
          <w:tcPr>
            <w:tcW w:type="dxa" w:w="68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lecture hours</w:t>
            </w:r>
          </w:p>
        </w:tc>
        <w:tc>
          <w:tcPr>
            <w:tcW w:type="dxa" w:w="15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66</w:t>
            </w:r>
          </w:p>
        </w:tc>
      </w:tr>
    </w:tbl>
    <w:p>
      <w:pPr>
        <w:spacing w:after="80" w:before="80"/>
      </w:pPr>
      <w:r>
        <w:rPr>
          <w:rFonts w:ascii="Open Sans" w:cs="Open Sans" w:eastAsia="Open Sans" w:hAnsi="Open Sans"/>
          <w:b w:val="false"/>
          <w:bCs w:val="false"/>
          <w:i w:val="false"/>
          <w:iCs w:val="false"/>
          <w:color w:val="000000"/>
          <w:sz w:val="20"/>
          <w:szCs w:val="20"/>
        </w:rPr>
        <w:t xml:space="preserve">Session note: the 66 lecture hours are delivered as 22 sessions of 3 hours, with unit allocations in multiples of 3 so that unit boundaries fall on session boundaries. Unit 6 is capped at 6 hours by the awareness-level wording of the boundary; it is a named orientation, not a taught technique.</w:t>
      </w:r>
    </w:p>
    <w:p>
      <w:pPr>
        <w:spacing w:after="80" w:before="80"/>
      </w:pPr>
      <w:r>
        <w:rPr>
          <w:rFonts w:ascii="Open Sans" w:cs="Open Sans" w:eastAsia="Open Sans" w:hAnsi="Open Sans"/>
          <w:b w:val="false"/>
          <w:bCs w:val="false"/>
          <w:i w:val="false"/>
          <w:iCs w:val="false"/>
          <w:color w:val="000000"/>
          <w:sz w:val="20"/>
          <w:szCs w:val="20"/>
        </w:rPr>
        <w:t xml:space="preserve">Working-language note: Python throughout. Framework selection between PyTorch and TensorFlow is a specification-stage decision and is left open here; the boundary names both and the syllabus is written so that either satisfies it.</w:t>
      </w:r>
    </w:p>
    <w:p>
      <w:pPr>
        <w:spacing w:after="80" w:before="80"/>
      </w:pPr>
      <w:r>
        <w:rPr>
          <w:rFonts w:ascii="Open Sans" w:cs="Open Sans" w:eastAsia="Open Sans" w:hAnsi="Open Sans"/>
          <w:b w:val="false"/>
          <w:bCs w:val="false"/>
          <w:i w:val="false"/>
          <w:iCs w:val="false"/>
          <w:color w:val="000000"/>
          <w:sz w:val="20"/>
          <w:szCs w:val="20"/>
        </w:rPr>
        <w:t xml:space="preserve">Delivery cost, named: unit 4 requires laboratory computing provision sufficient for convolutional training within a session. Transfer learning is written into the unit partly for pedagogical reasons and partly because it keeps the computing demand realistic for the cohort size. If the provision is not made, the unit degrades to demonstration and the build claim in LO2 weakens. This is a resourcing commitment and is recorded rather than assumed.</w:t>
      </w:r>
    </w:p>
    <w:p>
      <w:pPr>
        <w:spacing w:after="80" w:before="160"/>
      </w:pPr>
      <w:r>
        <w:rPr>
          <w:rFonts w:ascii="Open Sans" w:cs="Open Sans" w:eastAsia="Open Sans" w:hAnsi="Open Sans"/>
          <w:b/>
          <w:bCs/>
          <w:i w:val="false"/>
          <w:iCs w:val="false"/>
          <w:color w:val="000000"/>
          <w:sz w:val="20"/>
          <w:szCs w:val="20"/>
        </w:rPr>
        <w:t xml:space="preserve">Teaching and learning hours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6600"/>
        <w:gridCol w:w="2400"/>
      </w:tblGrid>
      <w:tr>
        <w:trPr>
          <w:tblHeader/>
        </w:trPr>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Hours</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Lectures</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66</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Tutorials</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15</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Practicals and laboratory</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30</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In-class assignments</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Demonstration</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Self-guided study</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74</w:t>
            </w:r>
          </w:p>
        </w:tc>
      </w:tr>
      <w:tr>
        <w:tc>
          <w:tcPr>
            <w:tcW w:type="dxa" w:w="66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notional hours</w:t>
            </w:r>
          </w:p>
        </w:tc>
        <w:tc>
          <w:tcPr>
            <w:tcW w:type="dxa" w:w="24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200</w:t>
            </w:r>
          </w:p>
        </w:tc>
      </w:tr>
    </w:tbl>
    <w:p>
      <w:pPr>
        <w:spacing w:after="120" w:before="240"/>
      </w:pPr>
      <w:r>
        <w:rPr>
          <w:rFonts w:ascii="Open Sans" w:cs="Open Sans" w:eastAsia="Open Sans" w:hAnsi="Open Sans"/>
          <w:b/>
          <w:bCs/>
          <w:color w:val="000000"/>
          <w:sz w:val="24"/>
          <w:szCs w:val="24"/>
        </w:rPr>
        <w:t xml:space="preserve">5. Assessment</w:t>
      </w:r>
    </w:p>
    <w:p>
      <w:pPr>
        <w:spacing w:after="80" w:before="80"/>
      </w:pPr>
      <w:r>
        <w:rPr>
          <w:rFonts w:ascii="Open Sans" w:cs="Open Sans" w:eastAsia="Open Sans" w:hAnsi="Open Sans"/>
          <w:b w:val="false"/>
          <w:bCs w:val="false"/>
          <w:i w:val="false"/>
          <w:iCs w:val="false"/>
          <w:color w:val="000000"/>
          <w:sz w:val="20"/>
          <w:szCs w:val="20"/>
        </w:rPr>
        <w:t xml:space="preserve">Weightings are stated below and are confirmed at specification 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500"/>
        <w:gridCol w:w="3600"/>
        <w:gridCol w:w="2200"/>
        <w:gridCol w:w="900"/>
        <w:gridCol w:w="800"/>
      </w:tblGrid>
      <w:tr>
        <w:trPr>
          <w:tblHeader/>
        </w:trPr>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3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Task</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Conditions</w:t>
            </w:r>
          </w:p>
        </w:tc>
        <w:tc>
          <w:tcPr>
            <w:tcW w:type="dxa" w:w="9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Outcomes</w:t>
            </w:r>
          </w:p>
        </w:tc>
        <w:tc>
          <w:tcPr>
            <w:tcW w:type="dxa" w:w="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Weight</w:t>
            </w:r>
          </w:p>
        </w:tc>
      </w:tr>
      <w:tr>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Coursework</w:t>
            </w:r>
          </w:p>
        </w:tc>
        <w:tc>
          <w:tcPr>
            <w:tcW w:type="dxa" w:w="3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Released brief: build, train and evaluate a convolutional model for a stated task, including an architecture-comparison section that sets at least two candidate families against the problem type, and a closing limits statement saying what the trained model may and may not be claimed to do. Submitted as a repository with training artefacts plus a report of approximately 2,000 words</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take-home; graded; Viva/Presentation: presentation of 15 minutes at demonstration, on the architecture choice and the limits statement</w:t>
            </w:r>
          </w:p>
        </w:tc>
        <w:tc>
          <w:tcPr>
            <w:tcW w:type="dxa" w:w="9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to LO3</w:t>
            </w:r>
          </w:p>
        </w:tc>
        <w:tc>
          <w:tcPr>
            <w:tcW w:type="dxa" w:w="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60%</w:t>
            </w:r>
          </w:p>
        </w:tc>
      </w:tr>
      <w:tr>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Practical</w:t>
            </w:r>
          </w:p>
        </w:tc>
        <w:tc>
          <w:tcPr>
            <w:tcW w:type="dxa" w:w="3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Supervised laboratory assessment: train a supplied network under fixed conditions, diagnose a seeded training failure from the training behaviour, and correct it</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supervised; graded</w:t>
            </w:r>
          </w:p>
        </w:tc>
        <w:tc>
          <w:tcPr>
            <w:tcW w:type="dxa" w:w="9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LO2, LO3</w:t>
            </w:r>
          </w:p>
        </w:tc>
        <w:tc>
          <w:tcPr>
            <w:tcW w:type="dxa" w:w="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40%</w:t>
            </w:r>
          </w:p>
        </w:tc>
      </w:tr>
    </w:tbl>
    <w:p>
      <w:pPr>
        <w:spacing w:after="80" w:before="80"/>
      </w:pPr>
      <w:r>
        <w:rPr>
          <w:rFonts w:ascii="Open Sans" w:cs="Open Sans" w:eastAsia="Open Sans" w:hAnsi="Open Sans"/>
          <w:b w:val="false"/>
          <w:bCs w:val="false"/>
          <w:i w:val="false"/>
          <w:iCs w:val="false"/>
          <w:color w:val="000000"/>
          <w:sz w:val="20"/>
          <w:szCs w:val="20"/>
        </w:rPr>
        <w:t xml:space="preserve">No examination is carried by design. The capability certified here is the construction, diagnosis and honest appraisal of trained models, none of which survives translation into an unseen written paper. The supervised laboratory assessment supplies the constraint that an examination would otherwise supply, and the seeded-failure task tests diagnostic judgment rather than recall.</w:t>
      </w:r>
    </w:p>
    <w:p>
      <w:pPr>
        <w:spacing w:after="80" w:before="80"/>
      </w:pPr>
      <w:r>
        <w:rPr>
          <w:rFonts w:ascii="Open Sans" w:cs="Open Sans" w:eastAsia="Open Sans" w:hAnsi="Open Sans"/>
          <w:b w:val="false"/>
          <w:bCs w:val="false"/>
          <w:i w:val="false"/>
          <w:iCs w:val="false"/>
          <w:color w:val="000000"/>
          <w:sz w:val="20"/>
          <w:szCs w:val="20"/>
        </w:rPr>
        <w:t xml:space="preserve">Reassessment is by failed component. The coursework is an open-resource task in which generative-artificial-intelligence assistance must be declared, with architecture reasoning and the limits statement written by the student; the presentation is where authorship is tested; the laboratory assessment is closed to such assistance.</w:t>
      </w:r>
    </w:p>
    <w:p>
      <w:pPr>
        <w:spacing w:after="120" w:before="240"/>
      </w:pPr>
      <w:r>
        <w:rPr>
          <w:rFonts w:ascii="Open Sans" w:cs="Open Sans" w:eastAsia="Open Sans" w:hAnsi="Open Sans"/>
          <w:b/>
          <w:bCs/>
          <w:color w:val="000000"/>
          <w:sz w:val="24"/>
          <w:szCs w:val="24"/>
        </w:rPr>
        <w:t xml:space="preserve">6. Resources, Staff and Governance</w:t>
      </w:r>
    </w:p>
    <w:p>
      <w:pPr>
        <w:spacing w:after="80" w:before="80"/>
      </w:pPr>
      <w:r>
        <w:rPr>
          <w:rFonts w:ascii="Open Sans" w:cs="Open Sans" w:eastAsia="Open Sans" w:hAnsi="Open Sans"/>
          <w:b/>
          <w:bCs/>
          <w:i w:val="false"/>
          <w:iCs w:val="false"/>
          <w:color w:val="000000"/>
          <w:sz w:val="20"/>
          <w:szCs w:val="20"/>
        </w:rPr>
        <w:t xml:space="preserve">Indicative reading</w:t>
      </w:r>
    </w:p>
    <w:p>
      <w:pPr>
        <w:spacing w:after="60" w:before="60"/>
        <w:ind w:left="300" w:hanging="300"/>
      </w:pPr>
      <w:r>
        <w:rPr>
          <w:rFonts w:ascii="Open Sans" w:cs="Open Sans" w:eastAsia="Open Sans" w:hAnsi="Open Sans"/>
          <w:b/>
          <w:bCs/>
          <w:sz w:val="18"/>
          <w:szCs w:val="18"/>
        </w:rPr>
        <w:t xml:space="preserve">Core</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Prince, S. J. D. (2023) Understanding Deep Learning. MIT Press. ISBN 978-0-262-04864-4. Primary text for units 1, 2, 4 and 5; a draft version licensed under Creative Commons Attribution-NonCommercial-NoDerivatives is available at udlbook.com.</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Zhang, A., Lipton, Z. C., Li, M. and Smola, A. J. (2023) Dive into Deep Learning. Cambridge University Press. Second text, adopted for its executable treatment; the interactive edition at d2l.ai carries parallel implementations, which supports the deferred framework decision.</w:t>
      </w:r>
    </w:p>
    <w:p>
      <w:pPr>
        <w:spacing w:after="60" w:before="60"/>
        <w:ind w:left="300" w:hanging="300"/>
      </w:pPr>
      <w:r>
        <w:rPr>
          <w:rFonts w:ascii="Open Sans" w:cs="Open Sans" w:eastAsia="Open Sans" w:hAnsi="Open Sans"/>
          <w:b/>
          <w:bCs/>
          <w:sz w:val="18"/>
          <w:szCs w:val="18"/>
        </w:rPr>
        <w:t xml:space="preserve">Supplementary</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Chollet, F. (2021) Deep Learning with Python. 2nd edition. Manning. Dependency: Keras and TensorFlow throughout; set only if that framework is selected at specification stage.</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Goodfellow, I., Bengio, Y. and Courville, A. (2016) Deep Learning. MIT Press. Reference text for theoretical background, available free at deeplearningbook.org. Dependency: dated in its coverage of recent architectures and mathematically demanding; cited as a reference rather than as directed reading for the cohort.</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MIT OpenCourseWare, 6.036 Introduction to Machine Learning, Fall 2020, Massachusetts Institute of Technology. Directed self-guided consolidation for the neural-network and reinforcement-learning strands of units 1 and 6. Dependency: delivered through the MIT Open Learning Library, free to use with enrolment optional; the subject has since been renumbered 6.390.</w:t>
      </w:r>
    </w:p>
    <w:p>
      <w:pPr>
        <w:spacing w:after="60" w:before="60"/>
        <w:ind w:left="300" w:hanging="300"/>
      </w:pPr>
      <w:r>
        <w:rPr>
          <w:rFonts w:ascii="Open Sans" w:cs="Open Sans" w:eastAsia="Open Sans" w:hAnsi="Open Sans"/>
          <w:b/>
          <w:bCs/>
          <w:sz w:val="18"/>
          <w:szCs w:val="18"/>
        </w:rPr>
        <w:t xml:space="preserve">School-produced</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Laboratory notebooks with seeded training failures for diagnostic practice, a transfer-learning starter pack, and a limits-statement template. Confirmed at teaching-plan stage.</w:t>
      </w:r>
    </w:p>
    <w:p>
      <w:pPr>
        <w:spacing w:after="60" w:before="60"/>
        <w:ind w:left="300" w:hanging="300"/>
      </w:pPr>
      <w:r>
        <w:rPr>
          <w:rFonts w:ascii="Open Sans" w:cs="Open Sans" w:eastAsia="Open Sans" w:hAnsi="Open Sans"/>
          <w:b/>
          <w:bCs/>
          <w:sz w:val="18"/>
          <w:szCs w:val="18"/>
        </w:rPr>
        <w:t xml:space="preserve">Licensing note</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MIT OpenCourseWare materials are published under a Creative Commons Attribution-NonCommercial-ShareAlike licence and are cited as directed study resources accessed at source. Any incorporation into School-produced materials requires attribution and share-alike compliance, confirmed at teaching-plan stage.</w:t>
      </w:r>
    </w:p>
    <w:p>
      <w:pPr>
        <w:spacing w:after="80" w:before="200"/>
      </w:pPr>
      <w:r>
        <w:rPr>
          <w:rFonts w:ascii="Open Sans" w:cs="Open Sans" w:eastAsia="Open Sans" w:hAnsi="Open Sans"/>
          <w:b/>
          <w:bCs/>
          <w:i w:val="false"/>
          <w:iCs w:val="false"/>
          <w:color w:val="000000"/>
          <w:sz w:val="20"/>
          <w:szCs w:val="20"/>
        </w:rPr>
        <w:t xml:space="preserve">Staffing</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3000"/>
        <w:gridCol w:w="3000"/>
      </w:tblGrid>
      <w:tr>
        <w:trPr>
          <w:tblHeader/>
        </w:trPr>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Role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Name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Domain credential</w:t>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1</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2</w:t>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External module auditor</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bl>
    <w:p>
      <w:pPr>
        <w:spacing w:after="80" w:before="140"/>
      </w:pPr>
      <w:r>
        <w:rPr>
          <w:rFonts w:ascii="Open Sans" w:cs="Open Sans" w:eastAsia="Open Sans" w:hAnsi="Open Sans"/>
          <w:b w:val="false"/>
          <w:bCs w:val="false"/>
          <w:i w:val="false"/>
          <w:iCs w:val="false"/>
          <w:color w:val="000000"/>
          <w:sz w:val="20"/>
          <w:szCs w:val="20"/>
        </w:rPr>
        <w:t xml:space="preserve">Domain-expertise statement: delivery requires deep-learning and applied artificial-intelligence expertise, including hands-on framework experience. The distinction from Machine Learning Engineering must be maintained in delivery, since apparent overlap between the two is the most likely challenge at validation.</w:t>
      </w:r>
    </w:p>
    <w:p>
      <w:pPr>
        <w:spacing w:after="80" w:before="200"/>
      </w:pPr>
      <w:r>
        <w:rPr>
          <w:rFonts w:ascii="Open Sans" w:cs="Open Sans" w:eastAsia="Open Sans" w:hAnsi="Open Sans"/>
          <w:b/>
          <w:bCs/>
          <w:i w:val="false"/>
          <w:iCs w:val="false"/>
          <w:color w:val="000000"/>
          <w:sz w:val="20"/>
          <w:szCs w:val="20"/>
        </w:rPr>
        <w:t xml:space="preserve">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800"/>
        <w:gridCol w:w="2600"/>
        <w:gridCol w:w="4600"/>
      </w:tblGrid>
      <w:tr>
        <w:trPr>
          <w:tblHeader/>
        </w:trPr>
        <w:tc>
          <w:tcPr>
            <w:tcW w:type="dxa" w:w="1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Version</w:t>
            </w:r>
          </w:p>
        </w:tc>
        <w:tc>
          <w:tcPr>
            <w:tcW w:type="dxa" w:w="2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Date</w:t>
            </w:r>
          </w:p>
        </w:tc>
        <w:tc>
          <w:tcPr>
            <w:tcW w:type="dxa" w:w="4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Status</w:t>
            </w:r>
          </w:p>
        </w:tc>
      </w:tr>
      <w:tr>
        <w:tc>
          <w:tcPr>
            <w:tcW w:type="dxa" w:w="1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1.0</w:t>
            </w:r>
          </w:p>
        </w:tc>
        <w:tc>
          <w:tcPr>
            <w:tcW w:type="dxa" w:w="2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c>
          <w:tcPr>
            <w:tcW w:type="dxa" w:w="4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Issued for review</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2026-07-22T02:15:23.521Z</dcterms:created>
  <dcterms:modified xsi:type="dcterms:W3CDTF">2026-07-22T02:15:23.521Z</dcterms:modified>
</cp:coreProperties>
</file>

<file path=docProps/custom.xml><?xml version="1.0" encoding="utf-8"?>
<Properties xmlns="http://schemas.openxmlformats.org/officeDocument/2006/custom-properties" xmlns:vt="http://schemas.openxmlformats.org/officeDocument/2006/docPropsVTypes"/>
</file>