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Open Sans" w:cs="Open Sans" w:eastAsia="Open Sans" w:hAnsi="Open Sans"/>
          <w:b/>
          <w:bCs/>
          <w:color w:val="000000"/>
          <w:sz w:val="30"/>
          <w:szCs w:val="30"/>
        </w:rPr>
        <w:t xml:space="preserve">Module Descriptor</w:t>
      </w:r>
    </w:p>
    <w:p>
      <w:pPr>
        <w:pBdr>
          <w:bottom w:val="single" w:color="595959" w:sz="8" w:space="6"/>
        </w:pBdr>
        <w:spacing w:after="200" w:before="0"/>
      </w:pPr>
      <w:r>
        <w:rPr>
          <w:rFonts w:ascii="Open Sans" w:cs="Open Sans" w:eastAsia="Open Sans" w:hAnsi="Open Sans"/>
          <w:b/>
          <w:bCs/>
          <w:color w:val="595959"/>
          <w:sz w:val="34"/>
          <w:szCs w:val="34"/>
        </w:rPr>
        <w:t xml:space="preserve">Intelligent Systems and Reasoning</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code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NB-SOCE-L4-AD-TT-04</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Category</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Pathway module, taught</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Programme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BSc Computer Science with Artificial Intelligence and Data Science</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Status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Draft for review, version 1.0</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Date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Sources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School curriculum decision records; Sri Lanka Qualifications Framework (September 2015 edition, University Grants Commission); partner university module descriptors</w:t>
            </w:r>
          </w:p>
        </w:tc>
      </w:tr>
    </w:tbl>
    <w:p>
      <w:pPr>
        <w:spacing w:after="120" w:before="240"/>
      </w:pPr>
      <w:r>
        <w:rPr>
          <w:rFonts w:ascii="Open Sans" w:cs="Open Sans" w:eastAsia="Open Sans" w:hAnsi="Open Sans"/>
          <w:b/>
          <w:bCs/>
          <w:color w:val="000000"/>
          <w:sz w:val="24"/>
          <w:szCs w:val="24"/>
        </w:rPr>
        <w:t xml:space="preserve">1. Module Identity and Architecture</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title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Intelligent Systems and Reasoning</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SLQF level and credits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Level 4 (Year 2); 3 credits; 150 notional hours</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Feeder targets</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NB5010CEM Artificial Intelligence, on the Data Science destination. Robots and Intelligent Agents, on the Artificial Intelligence destination. The module carries the symbolic and agent-reasoning tradition that the statistical and deep-learning modules do not.</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Prerequisites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Intelligent Systems Foundations, which supplies the Year 1 artificial-intelligence grounding. Search and knowledge-representation practice depth is re-exercised here rather than assumed complete.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Delivery mode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Session-based delivery in 3-hour blocks; 16 lecture sessions plus tutorials, practicals and demonstration</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Progression role</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Year 2 pathway module; not a bridging module.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Exit-award relevance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Symbolic artificial-intelligence competency completing the pathway profile at Higher National Diploma level alongside the statistical and deep-learning strand. Exit-award requirements remain subject to change and additional requirements may be introduced by the accrediting authority; the specification remains adaptable.</w:t>
            </w:r>
          </w:p>
        </w:tc>
      </w:tr>
    </w:tbl>
    <w:p>
      <w:pPr>
        <w:spacing w:after="120" w:before="240"/>
      </w:pPr>
      <w:r>
        <w:rPr>
          <w:rFonts w:ascii="Open Sans" w:cs="Open Sans" w:eastAsia="Open Sans" w:hAnsi="Open Sans"/>
          <w:b/>
          <w:bCs/>
          <w:color w:val="000000"/>
          <w:sz w:val="24"/>
          <w:szCs w:val="24"/>
        </w:rPr>
        <w:t xml:space="preserve">2. Module Purpose and Aims</w:t>
      </w:r>
    </w:p>
    <w:p>
      <w:pPr>
        <w:spacing w:after="80" w:before="80"/>
      </w:pPr>
      <w:r>
        <w:rPr>
          <w:rFonts w:ascii="Open Sans" w:cs="Open Sans" w:eastAsia="Open Sans" w:hAnsi="Open Sans"/>
          <w:b w:val="false"/>
          <w:bCs w:val="false"/>
          <w:i w:val="false"/>
          <w:iCs w:val="false"/>
          <w:color w:val="000000"/>
          <w:sz w:val="20"/>
          <w:szCs w:val="20"/>
        </w:rPr>
        <w:t xml:space="preserve">This module carries the half of artificial intelligence that the statistical and deep-learning modules leave untouched. A graduate who can train a network but cannot represent knowledge, plan a sequence of actions, or reason about belief has an incomplete profile, and one of the two destinations expects agents rather than classifiers.</w:t>
      </w:r>
    </w:p>
    <w:p>
      <w:pPr>
        <w:spacing w:after="80" w:before="80"/>
      </w:pPr>
      <w:r>
        <w:rPr>
          <w:rFonts w:ascii="Open Sans" w:cs="Open Sans" w:eastAsia="Open Sans" w:hAnsi="Open Sans"/>
          <w:b w:val="false"/>
          <w:bCs w:val="false"/>
          <w:i w:val="false"/>
          <w:iCs w:val="false"/>
          <w:color w:val="000000"/>
          <w:sz w:val="20"/>
          <w:szCs w:val="20"/>
        </w:rPr>
        <w:t xml:space="preserve">The module therefore does three things. It gives symbolic representation and inference proper treatment rather than a historical mention. It takes search from the introductory level reached in Year 1 into planning, where the problem is a sequence of actions rather than a path. And it puts agent architectures on the table as design choices to be selected between, which is where the module’s analytical demand sits.</w:t>
      </w:r>
    </w:p>
    <w:p>
      <w:pPr>
        <w:spacing w:after="80" w:before="80"/>
      </w:pPr>
      <w:r>
        <w:rPr>
          <w:rFonts w:ascii="Open Sans" w:cs="Open Sans" w:eastAsia="Open Sans" w:hAnsi="Open Sans"/>
          <w:b w:val="false"/>
          <w:bCs w:val="false"/>
          <w:i w:val="false"/>
          <w:iCs w:val="false"/>
          <w:color w:val="000000"/>
          <w:sz w:val="20"/>
          <w:szCs w:val="20"/>
        </w:rPr>
        <w:t xml:space="preserve">An honest note on the field: symbolic artificial intelligence is taught here without pretending it is the current frontier and without dismissing it as history. Its methods remain the right answer for problems where the rules are known, the decisions must be explainable, and the data to learn from does not exist. Students are told where the boundary between the two traditions actually falls.</w:t>
      </w:r>
    </w:p>
    <w:p>
      <w:pPr>
        <w:spacing w:after="80" w:before="160"/>
      </w:pPr>
      <w:r>
        <w:rPr>
          <w:rFonts w:ascii="Open Sans" w:cs="Open Sans" w:eastAsia="Open Sans" w:hAnsi="Open Sans"/>
          <w:b/>
          <w:bCs/>
          <w:i w:val="false"/>
          <w:iCs w:val="false"/>
          <w:color w:val="000000"/>
          <w:sz w:val="20"/>
          <w:szCs w:val="20"/>
        </w:rPr>
        <w:t xml:space="preserve">Specification boundary</w:t>
      </w:r>
    </w:p>
    <w:tbl>
      <w:tblPr>
        <w:tblW w:type="dxa" w:w="9000"/>
        <w:tblBorders>
          <w:top w:val="none" w:color="FFFFFF" w:sz="0"/>
          <w:left w:val="single" w:color="595959" w:sz="18"/>
          <w:bottom w:val="none" w:color="FFFFFF" w:sz="0"/>
          <w:right w:val="none" w:color="FFFFFF" w:sz="0"/>
          <w:insideH w:val="none" w:color="FFFFFF" w:sz="0"/>
          <w:insideV w:val="none" w:color="FFFFFF" w:sz="0"/>
        </w:tblBorders>
      </w:tblPr>
      <w:tblGrid>
        <w:gridCol w:w="9000"/>
      </w:tblGrid>
      <w:tr>
        <w:tc>
          <w:tcPr>
            <w:tcW w:type="dxa" w:w="9000"/>
            <w:shd w:fill="F7F7F7" w:color="auto" w:val="clear"/>
            <w:tcMar>
              <w:top w:type="dxa" w:w="140"/>
              <w:left w:type="dxa" w:w="200"/>
              <w:bottom w:type="dxa" w:w="140"/>
              <w:right w:type="dxa" w:w="160"/>
            </w:tcMar>
          </w:tcPr>
          <w:p>
            <w:pPr>
              <w:spacing w:after="40" w:before="40"/>
            </w:pPr>
            <w:r>
              <w:rPr>
                <w:rFonts w:ascii="Open Sans" w:cs="Open Sans" w:eastAsia="Open Sans" w:hAnsi="Open Sans"/>
                <w:b/>
                <w:bCs/>
                <w:sz w:val="18"/>
                <w:szCs w:val="18"/>
              </w:rPr>
              <w:t xml:space="preserve">Covers: </w:t>
            </w:r>
            <w:r>
              <w:rPr>
                <w:rFonts w:ascii="Open Sans" w:cs="Open Sans" w:eastAsia="Open Sans" w:hAnsi="Open Sans"/>
                <w:i w:val="false"/>
                <w:iCs w:val="false"/>
                <w:sz w:val="18"/>
                <w:szCs w:val="18"/>
              </w:rPr>
              <w:t xml:space="preserve">symbolic artificial intelligence; knowledge representation; search and planning; agent architectures; introductory reasoning under uncertainty.</w:t>
            </w:r>
          </w:p>
          <w:p>
            <w:pPr>
              <w:spacing w:after="40" w:before="40"/>
            </w:pPr>
            <w:r>
              <w:rPr>
                <w:rFonts w:ascii="Open Sans" w:cs="Open Sans" w:eastAsia="Open Sans" w:hAnsi="Open Sans"/>
                <w:b/>
                <w:bCs/>
                <w:sz w:val="18"/>
                <w:szCs w:val="18"/>
              </w:rPr>
              <w:t xml:space="preserve">Does not cover: </w:t>
            </w:r>
            <w:r>
              <w:rPr>
                <w:rFonts w:ascii="Open Sans" w:cs="Open Sans" w:eastAsia="Open Sans" w:hAnsi="Open Sans"/>
                <w:i w:val="false"/>
                <w:iCs w:val="false"/>
                <w:sz w:val="18"/>
                <w:szCs w:val="18"/>
              </w:rPr>
              <w:t xml:space="preserve">statistical and deep learning, which are covered by Applied Artificial Intelligence and by Machine Learning Engineering.</w:t>
            </w:r>
          </w:p>
          <w:p>
            <w:pPr>
              <w:spacing w:after="40" w:before="40"/>
            </w:pPr>
            <w:r>
              <w:rPr>
                <w:rFonts w:ascii="Open Sans" w:cs="Open Sans" w:eastAsia="Open Sans" w:hAnsi="Open Sans"/>
                <w:b/>
                <w:bCs/>
                <w:sz w:val="18"/>
                <w:szCs w:val="18"/>
              </w:rPr>
              <w:t xml:space="preserve"/>
            </w:r>
            <w:r>
              <w:rPr>
                <w:rFonts w:ascii="Open Sans" w:cs="Open Sans" w:eastAsia="Open Sans" w:hAnsi="Open Sans"/>
                <w:i/>
                <w:iCs/>
                <w:sz w:val="18"/>
                <w:szCs w:val="18"/>
              </w:rPr>
              <w:t xml:space="preserve">Changes to this boundary are made only through the School’s formal change-control process, not by amendment of this descriptor.</w:t>
            </w:r>
          </w:p>
        </w:tc>
      </w:tr>
    </w:tbl>
    <w:p>
      <w:pPr>
        <w:spacing w:after="120" w:before="240"/>
      </w:pPr>
      <w:r>
        <w:rPr>
          <w:rFonts w:ascii="Open Sans" w:cs="Open Sans" w:eastAsia="Open Sans" w:hAnsi="Open Sans"/>
          <w:b/>
          <w:bCs/>
          <w:color w:val="000000"/>
          <w:sz w:val="24"/>
          <w:szCs w:val="24"/>
        </w:rPr>
        <w:t xml:space="preserve">3. Learning Outcomes</w:t>
      </w:r>
    </w:p>
    <w:p>
      <w:pPr>
        <w:spacing w:after="80" w:before="80"/>
      </w:pPr>
      <w:r>
        <w:rPr>
          <w:rFonts w:ascii="Open Sans" w:cs="Open Sans" w:eastAsia="Open Sans" w:hAnsi="Open Sans"/>
          <w:b w:val="false"/>
          <w:bCs w:val="false"/>
          <w:i w:val="false"/>
          <w:iCs w:val="false"/>
          <w:color w:val="000000"/>
          <w:sz w:val="20"/>
          <w:szCs w:val="20"/>
        </w:rPr>
        <w:t xml:space="preserve">On successful completion of this module, a student will be able to:</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100"/>
        <w:gridCol w:w="22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Ref</w:t>
            </w:r>
          </w:p>
        </w:tc>
        <w:tc>
          <w:tcPr>
            <w:tcW w:type="dxa" w:w="61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Intended learning outcome</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Level of learning</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 knowledge-representation techniques to defined problems and draw inferences from the representation built.</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LO2</w:t>
            </w:r>
          </w:p>
        </w:tc>
        <w:tc>
          <w:tcPr>
            <w:tcW w:type="dxa" w:w="61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Implement search and planning approaches for a stated task.</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LO3</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Evaluate agent architectures and reasoning approaches against the demands of a stated problem, and justify the selection made.</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Evaluate</w:t>
            </w:r>
          </w:p>
        </w:tc>
      </w:tr>
    </w:tbl>
    <w:p>
      <w:pPr>
        <w:spacing w:after="120" w:before="240"/>
      </w:pPr>
      <w:r>
        <w:rPr>
          <w:rFonts w:ascii="Open Sans" w:cs="Open Sans" w:eastAsia="Open Sans" w:hAnsi="Open Sans"/>
          <w:b/>
          <w:bCs/>
          <w:color w:val="000000"/>
          <w:sz w:val="24"/>
          <w:szCs w:val="24"/>
        </w:rPr>
        <w:t xml:space="preserve">4. Curriculum and Delivery</w:t>
      </w:r>
    </w:p>
    <w:p>
      <w:pPr>
        <w:spacing w:after="80" w:before="80"/>
      </w:pPr>
      <w:r>
        <w:rPr>
          <w:rFonts w:ascii="Open Sans" w:cs="Open Sans" w:eastAsia="Open Sans" w:hAnsi="Open Sans"/>
          <w:b/>
          <w:bCs/>
          <w:i w:val="false"/>
          <w:iCs w:val="false"/>
          <w:color w:val="000000"/>
          <w:sz w:val="20"/>
          <w:szCs w:val="20"/>
        </w:rPr>
        <w:t xml:space="preserve">Indicative syllabus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800"/>
        <w:gridCol w:w="15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Unit</w:t>
            </w:r>
          </w:p>
        </w:tc>
        <w:tc>
          <w:tcPr>
            <w:tcW w:type="dxa" w:w="6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Content</w:t>
            </w:r>
          </w:p>
        </w:tc>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Lecture hours</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U1</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Symbolic artificial intelligence: what the tradition explains, what it does well, and where the boundary with learned approaches actually falls</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U2</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Knowledge representation: logic-based representation and inference, structured representations including frames and ontologies, and the trade-off between expressiveness and tractability</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12</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U3</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Search and planning: search revisited at depth, planning as action sequencing, state-space and plan-space approaches, and heuristics for planning</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15</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U4</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Agent architectures: reactive, deliberative and hybrid architectures, and the matching of architecture to task environment</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U5</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Introductory reasoning under uncertainty: representing belief, updating it on evidence, and the limits of a symbolic treatment</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w:t>
            </w:r>
          </w:p>
        </w:tc>
      </w:tr>
      <w:tr>
        <w:tc>
          <w:tcPr>
            <w:tcW w:type="dxa" w:w="7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
            </w:r>
          </w:p>
        </w:tc>
        <w:tc>
          <w:tcPr>
            <w:tcW w:type="dxa" w:w="68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lecture hours</w:t>
            </w:r>
          </w:p>
        </w:tc>
        <w:tc>
          <w:tcPr>
            <w:tcW w:type="dxa" w:w="15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48</w:t>
            </w:r>
          </w:p>
        </w:tc>
      </w:tr>
    </w:tbl>
    <w:p>
      <w:pPr>
        <w:spacing w:after="80" w:before="80"/>
      </w:pPr>
      <w:r>
        <w:rPr>
          <w:rFonts w:ascii="Open Sans" w:cs="Open Sans" w:eastAsia="Open Sans" w:hAnsi="Open Sans"/>
          <w:b w:val="false"/>
          <w:bCs w:val="false"/>
          <w:i w:val="false"/>
          <w:iCs w:val="false"/>
          <w:color w:val="000000"/>
          <w:sz w:val="20"/>
          <w:szCs w:val="20"/>
        </w:rPr>
        <w:t xml:space="preserve">Session note: the 48 lecture hours are delivered as 16 sessions of 3 hours, with unit allocations in multiples of 3 so that unit boundaries fall on session boundaries. Unit 3 carries the largest allocation because planning is where Year 1 search is genuinely extended rather than revisited.</w:t>
      </w:r>
    </w:p>
    <w:p>
      <w:pPr>
        <w:spacing w:after="80" w:before="80"/>
      </w:pPr>
      <w:r>
        <w:rPr>
          <w:rFonts w:ascii="Open Sans" w:cs="Open Sans" w:eastAsia="Open Sans" w:hAnsi="Open Sans"/>
          <w:b w:val="false"/>
          <w:bCs w:val="false"/>
          <w:i w:val="false"/>
          <w:iCs w:val="false"/>
          <w:color w:val="000000"/>
          <w:sz w:val="20"/>
          <w:szCs w:val="20"/>
        </w:rPr>
        <w:t xml:space="preserve">Working-language note: Python for implementation work, continuing the pathway language throughout. Where a representation language is required for unit 2, it is introduced as a notation rather than as a second working language, and no additional language competence is assessed.</w:t>
      </w:r>
    </w:p>
    <w:p>
      <w:pPr>
        <w:spacing w:after="80" w:before="160"/>
      </w:pPr>
      <w:r>
        <w:rPr>
          <w:rFonts w:ascii="Open Sans" w:cs="Open Sans" w:eastAsia="Open Sans" w:hAnsi="Open Sans"/>
          <w:b/>
          <w:bCs/>
          <w:i w:val="false"/>
          <w:iCs w:val="false"/>
          <w:color w:val="000000"/>
          <w:sz w:val="20"/>
          <w:szCs w:val="20"/>
        </w:rPr>
        <w:t xml:space="preserve">Teaching and learning hours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6600"/>
        <w:gridCol w:w="2400"/>
      </w:tblGrid>
      <w:tr>
        <w:trPr>
          <w:tblHeader/>
        </w:trPr>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Hours</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Lectures</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48</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Tutorials</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12</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Practicals and laboratory</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24</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In-class assignments</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Demonstration</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3</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Self-guided study</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54</w:t>
            </w:r>
          </w:p>
        </w:tc>
      </w:tr>
      <w:tr>
        <w:tc>
          <w:tcPr>
            <w:tcW w:type="dxa" w:w="66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notional hours</w:t>
            </w:r>
          </w:p>
        </w:tc>
        <w:tc>
          <w:tcPr>
            <w:tcW w:type="dxa" w:w="24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150</w:t>
            </w:r>
          </w:p>
        </w:tc>
      </w:tr>
    </w:tbl>
    <w:p>
      <w:pPr>
        <w:spacing w:after="120" w:before="240"/>
      </w:pPr>
      <w:r>
        <w:rPr>
          <w:rFonts w:ascii="Open Sans" w:cs="Open Sans" w:eastAsia="Open Sans" w:hAnsi="Open Sans"/>
          <w:b/>
          <w:bCs/>
          <w:color w:val="000000"/>
          <w:sz w:val="24"/>
          <w:szCs w:val="24"/>
        </w:rPr>
        <w:t xml:space="preserve">5. Assessment</w:t>
      </w:r>
    </w:p>
    <w:p>
      <w:pPr>
        <w:spacing w:after="80" w:before="80"/>
      </w:pPr>
      <w:r>
        <w:rPr>
          <w:rFonts w:ascii="Open Sans" w:cs="Open Sans" w:eastAsia="Open Sans" w:hAnsi="Open Sans"/>
          <w:b w:val="false"/>
          <w:bCs w:val="false"/>
          <w:i w:val="false"/>
          <w:iCs w:val="false"/>
          <w:color w:val="000000"/>
          <w:sz w:val="20"/>
          <w:szCs w:val="20"/>
        </w:rPr>
        <w:t xml:space="preserve">Weightings are stated below and are confirmed at specification 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500"/>
        <w:gridCol w:w="3600"/>
        <w:gridCol w:w="2200"/>
        <w:gridCol w:w="900"/>
        <w:gridCol w:w="800"/>
      </w:tblGrid>
      <w:tr>
        <w:trPr>
          <w:tblHeader/>
        </w:trPr>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3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Task</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Conditions</w:t>
            </w:r>
          </w:p>
        </w:tc>
        <w:tc>
          <w:tcPr>
            <w:tcW w:type="dxa" w:w="9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Outcomes</w:t>
            </w:r>
          </w:p>
        </w:tc>
        <w:tc>
          <w:tcPr>
            <w:tcW w:type="dxa" w:w="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Weight</w:t>
            </w:r>
          </w:p>
        </w:tc>
      </w:tr>
      <w:tr>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Coursework</w:t>
            </w:r>
          </w:p>
        </w:tc>
        <w:tc>
          <w:tcPr>
            <w:tcW w:type="dxa" w:w="3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Released brief: implement an agent or reasoning system for a stated problem, accompanied by an evaluation section that sets at least two candidate architectures or reasoning approaches against the demands of that problem and justifies the one selected. Submitted as code plus a report of approximately 1,800 words</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take-home; graded; Viva/Presentation: presentation of 12 minutes at demonstration, on the architecture selection and its justification</w:t>
            </w:r>
          </w:p>
        </w:tc>
        <w:tc>
          <w:tcPr>
            <w:tcW w:type="dxa" w:w="9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to LO3</w:t>
            </w:r>
          </w:p>
        </w:tc>
        <w:tc>
          <w:tcPr>
            <w:tcW w:type="dxa" w:w="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60%</w:t>
            </w:r>
          </w:p>
        </w:tc>
      </w:tr>
      <w:tr>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Coursework (in-class)</w:t>
            </w:r>
          </w:p>
        </w:tc>
        <w:tc>
          <w:tcPr>
            <w:tcW w:type="dxa" w:w="3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Supervised open-resource applied test on representation and inference, planning formulation, and belief updating</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supervised; graded; Viva/Presentation: none</w:t>
            </w:r>
          </w:p>
        </w:tc>
        <w:tc>
          <w:tcPr>
            <w:tcW w:type="dxa" w:w="9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to LO3</w:t>
            </w:r>
          </w:p>
        </w:tc>
        <w:tc>
          <w:tcPr>
            <w:tcW w:type="dxa" w:w="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40%</w:t>
            </w:r>
          </w:p>
        </w:tc>
      </w:tr>
    </w:tbl>
    <w:p>
      <w:pPr>
        <w:spacing w:after="80" w:before="80"/>
      </w:pPr>
      <w:r>
        <w:rPr>
          <w:rFonts w:ascii="Open Sans" w:cs="Open Sans" w:eastAsia="Open Sans" w:hAnsi="Open Sans"/>
          <w:b w:val="false"/>
          <w:bCs w:val="false"/>
          <w:i w:val="false"/>
          <w:iCs w:val="false"/>
          <w:color w:val="000000"/>
          <w:sz w:val="20"/>
          <w:szCs w:val="20"/>
        </w:rPr>
        <w:t xml:space="preserve">No examination is carried by design. The analytical demand of this module is the justified selection between architectures, which is evidenced in the coursework and defended at the presentation. The supervised in-class test supplies the constrained individual evidence that an examination would otherwise supply, in a form that permits reference to notation rather than testing its recall.</w:t>
      </w:r>
    </w:p>
    <w:p>
      <w:pPr>
        <w:spacing w:after="80" w:before="80"/>
      </w:pPr>
      <w:r>
        <w:rPr>
          <w:rFonts w:ascii="Open Sans" w:cs="Open Sans" w:eastAsia="Open Sans" w:hAnsi="Open Sans"/>
          <w:b w:val="false"/>
          <w:bCs w:val="false"/>
          <w:i w:val="false"/>
          <w:iCs w:val="false"/>
          <w:color w:val="000000"/>
          <w:sz w:val="20"/>
          <w:szCs w:val="20"/>
        </w:rPr>
        <w:t xml:space="preserve">Reassessment is by failed component. The coursework is an open-resource task in which generative-artificial-intelligence assistance must be declared and the evaluation section written by the student; the presentation is where authorship is tested, and a student who cannot defend the architecture selection cannot pass the component.</w:t>
      </w:r>
    </w:p>
    <w:p>
      <w:pPr>
        <w:spacing w:after="120" w:before="240"/>
      </w:pPr>
      <w:r>
        <w:rPr>
          <w:rFonts w:ascii="Open Sans" w:cs="Open Sans" w:eastAsia="Open Sans" w:hAnsi="Open Sans"/>
          <w:b/>
          <w:bCs/>
          <w:color w:val="000000"/>
          <w:sz w:val="24"/>
          <w:szCs w:val="24"/>
        </w:rPr>
        <w:t xml:space="preserve">6. Resources, Staff and Governance</w:t>
      </w:r>
    </w:p>
    <w:p>
      <w:pPr>
        <w:spacing w:after="80" w:before="80"/>
      </w:pPr>
      <w:r>
        <w:rPr>
          <w:rFonts w:ascii="Open Sans" w:cs="Open Sans" w:eastAsia="Open Sans" w:hAnsi="Open Sans"/>
          <w:b/>
          <w:bCs/>
          <w:i w:val="false"/>
          <w:iCs w:val="false"/>
          <w:color w:val="000000"/>
          <w:sz w:val="20"/>
          <w:szCs w:val="20"/>
        </w:rPr>
        <w:t xml:space="preserve">Indicative reading</w:t>
      </w:r>
    </w:p>
    <w:p>
      <w:pPr>
        <w:spacing w:after="60" w:before="60"/>
        <w:ind w:left="300" w:hanging="300"/>
      </w:pPr>
      <w:r>
        <w:rPr>
          <w:rFonts w:ascii="Open Sans" w:cs="Open Sans" w:eastAsia="Open Sans" w:hAnsi="Open Sans"/>
          <w:b/>
          <w:bCs/>
          <w:sz w:val="18"/>
          <w:szCs w:val="18"/>
        </w:rPr>
        <w:t xml:space="preserve">Core</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Russell, S. J. and Norvig, P. (2021) Artificial Intelligence: A Modern Approach. 4th edition. Pearson. Primary text; the chapters on logical agents, knowledge representation, automated planning and probabilistic reasoning. Carried forward from Intelligent Systems Foundations, which is a deliberate economy for the cohort.</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Poole, D. L. and Mackworth, A. K. (2023) Artificial Intelligence: Foundations of Computational Agents. 3rd edition. Cambridge University Press. ISBN 978-1-009-25819-7. Second text and the primary source for unit 4, whose agent design space is the framework this module uses for architecture selection. The full text is free at artint.info and the accompanying implementations are in Python.</w:t>
      </w:r>
    </w:p>
    <w:p>
      <w:pPr>
        <w:spacing w:after="60" w:before="60"/>
        <w:ind w:left="300" w:hanging="300"/>
      </w:pPr>
      <w:r>
        <w:rPr>
          <w:rFonts w:ascii="Open Sans" w:cs="Open Sans" w:eastAsia="Open Sans" w:hAnsi="Open Sans"/>
          <w:b/>
          <w:bCs/>
          <w:sz w:val="18"/>
          <w:szCs w:val="18"/>
        </w:rPr>
        <w:t xml:space="preserve">Supplementary</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Brachman, R. J. and Levesque, H. J. (2004) Knowledge Representation and Reasoning. Morgan Kaufmann. Reference text for unit 2. Dependency: predates current practice and is set for the representation and tractability treatment only, not as a survey of the field.</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Ghallab, M., Nau, D. and Traverso, P. (2016) Automated Planning and Acting. Cambridge University Press. Reference text for unit 3, used selectively; the treatment exceeds this module’s level and directed reading is bounded to the introductory planning chapters.</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Wooldridge, M. (2009) An Introduction to MultiAgent Systems. 2nd edition. Wiley. Reference for the agent-architecture material in unit 4.</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MIT OpenCourseWare, 6.034 Artificial Intelligence, Fall 2010 (P. H. Winston), Massachusetts Institute of Technology. Directed self-guided consolidation for unit 4, whose treatment of architectures including subsumption and the society-of-mind account is the clearest short exposition available. Dependency: the set text of that course is a 1992 edition which this module does not adopt; the lectures are cited, the dated text is not.</w:t>
      </w:r>
    </w:p>
    <w:p>
      <w:pPr>
        <w:spacing w:after="60" w:before="60"/>
        <w:ind w:left="300" w:hanging="300"/>
      </w:pPr>
      <w:r>
        <w:rPr>
          <w:rFonts w:ascii="Open Sans" w:cs="Open Sans" w:eastAsia="Open Sans" w:hAnsi="Open Sans"/>
          <w:b/>
          <w:bCs/>
          <w:sz w:val="18"/>
          <w:szCs w:val="18"/>
        </w:rPr>
        <w:t xml:space="preserve">School-produced</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Representation and inference worksheets, a planning-problem set with reference implementations, and an architecture-selection template for the coursework evaluation section. Confirmed at teaching-plan stage.</w:t>
      </w:r>
    </w:p>
    <w:p>
      <w:pPr>
        <w:spacing w:after="60" w:before="60"/>
        <w:ind w:left="300" w:hanging="300"/>
      </w:pPr>
      <w:r>
        <w:rPr>
          <w:rFonts w:ascii="Open Sans" w:cs="Open Sans" w:eastAsia="Open Sans" w:hAnsi="Open Sans"/>
          <w:b/>
          <w:bCs/>
          <w:sz w:val="18"/>
          <w:szCs w:val="18"/>
        </w:rPr>
        <w:t xml:space="preserve">Licensing note</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MIT OpenCourseWare materials are published under a Creative Commons Attribution-NonCommercial-ShareAlike licence and are cited as directed study resources accessed at source. Any incorporation into School-produced materials requires attribution and share-alike compliance, confirmed at teaching-plan stage.</w:t>
      </w:r>
    </w:p>
    <w:p>
      <w:pPr>
        <w:spacing w:after="80" w:before="200"/>
      </w:pPr>
      <w:r>
        <w:rPr>
          <w:rFonts w:ascii="Open Sans" w:cs="Open Sans" w:eastAsia="Open Sans" w:hAnsi="Open Sans"/>
          <w:b/>
          <w:bCs/>
          <w:i w:val="false"/>
          <w:iCs w:val="false"/>
          <w:color w:val="000000"/>
          <w:sz w:val="20"/>
          <w:szCs w:val="20"/>
        </w:rPr>
        <w:t xml:space="preserve">Staffing</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3000"/>
        <w:gridCol w:w="3000"/>
      </w:tblGrid>
      <w:tr>
        <w:trPr>
          <w:tblHeader/>
        </w:trPr>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Role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Name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Domain credential</w:t>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1</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2</w:t>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External module auditor</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bl>
    <w:p>
      <w:pPr>
        <w:spacing w:after="80" w:before="140"/>
      </w:pPr>
      <w:r>
        <w:rPr>
          <w:rFonts w:ascii="Open Sans" w:cs="Open Sans" w:eastAsia="Open Sans" w:hAnsi="Open Sans"/>
          <w:b w:val="false"/>
          <w:bCs w:val="false"/>
          <w:i w:val="false"/>
          <w:iCs w:val="false"/>
          <w:color w:val="000000"/>
          <w:sz w:val="20"/>
          <w:szCs w:val="20"/>
        </w:rPr>
        <w:t xml:space="preserve">Domain-expertise statement: delivery requires symbolic artificial-intelligence and intelligent-agents expertise. This is the scarcest specialism in the pathway and the least substitutable: a module leader whose background is entirely in statistical machine learning cannot deliver the architecture-selection judgment that LO3 demands, and this is recorded as a staffing risk rather than left to be discovered at delivery.</w:t>
      </w:r>
    </w:p>
    <w:p>
      <w:pPr>
        <w:spacing w:after="80" w:before="200"/>
      </w:pPr>
      <w:r>
        <w:rPr>
          <w:rFonts w:ascii="Open Sans" w:cs="Open Sans" w:eastAsia="Open Sans" w:hAnsi="Open Sans"/>
          <w:b/>
          <w:bCs/>
          <w:i w:val="false"/>
          <w:iCs w:val="false"/>
          <w:color w:val="000000"/>
          <w:sz w:val="20"/>
          <w:szCs w:val="20"/>
        </w:rPr>
        <w:t xml:space="preserve">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800"/>
        <w:gridCol w:w="2600"/>
        <w:gridCol w:w="4600"/>
      </w:tblGrid>
      <w:tr>
        <w:trPr>
          <w:tblHeader/>
        </w:trPr>
        <w:tc>
          <w:tcPr>
            <w:tcW w:type="dxa" w:w="1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Version</w:t>
            </w:r>
          </w:p>
        </w:tc>
        <w:tc>
          <w:tcPr>
            <w:tcW w:type="dxa" w:w="2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Date</w:t>
            </w:r>
          </w:p>
        </w:tc>
        <w:tc>
          <w:tcPr>
            <w:tcW w:type="dxa" w:w="4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Status</w:t>
            </w:r>
          </w:p>
        </w:tc>
      </w:tr>
      <w:tr>
        <w:tc>
          <w:tcPr>
            <w:tcW w:type="dxa" w:w="1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1.0</w:t>
            </w:r>
          </w:p>
        </w:tc>
        <w:tc>
          <w:tcPr>
            <w:tcW w:type="dxa" w:w="2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c>
          <w:tcPr>
            <w:tcW w:type="dxa" w:w="4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Issued for review</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2026-07-22T02:15:23.643Z</dcterms:created>
  <dcterms:modified xsi:type="dcterms:W3CDTF">2026-07-22T02:15:23.643Z</dcterms:modified>
</cp:coreProperties>
</file>

<file path=docProps/custom.xml><?xml version="1.0" encoding="utf-8"?>
<Properties xmlns="http://schemas.openxmlformats.org/officeDocument/2006/custom-properties" xmlns:vt="http://schemas.openxmlformats.org/officeDocument/2006/docPropsVTypes"/>
</file>