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240"/>
      </w:pPr>
      <w:r>
        <w:rPr>
          <w:rFonts w:ascii="Open Sans" w:cs="Open Sans" w:eastAsia="Open Sans" w:hAnsi="Open Sans"/>
          <w:b/>
          <w:bCs/>
          <w:color w:val="000000"/>
          <w:sz w:val="30"/>
          <w:szCs w:val="30"/>
        </w:rPr>
        <w:t xml:space="preserve">Module Descriptor</w:t>
      </w:r>
    </w:p>
    <w:p>
      <w:pPr>
        <w:pBdr>
          <w:bottom w:val="single" w:color="595959" w:sz="8" w:space="6"/>
        </w:pBdr>
        <w:spacing w:after="200" w:before="0"/>
      </w:pPr>
      <w:r>
        <w:rPr>
          <w:rFonts w:ascii="Open Sans" w:cs="Open Sans" w:eastAsia="Open Sans" w:hAnsi="Open Sans"/>
          <w:b/>
          <w:bCs/>
          <w:color w:val="595959"/>
          <w:sz w:val="34"/>
          <w:szCs w:val="34"/>
        </w:rPr>
        <w:t xml:space="preserve">Data Engineering and Pipelines</w:t>
      </w:r>
    </w:p>
    <w:tbl>
      <w:tblPr>
        <w:tblW w:type="dxa" w:w="9000"/>
        <w:tblBorders>
          <w:top w:val="single" w:color="BFBFBF" w:sz="4"/>
          <w:left w:val="single" w:color="BFBFBF" w:sz="4"/>
          <w:bottom w:val="single" w:color="BFBFBF" w:sz="4"/>
          <w:right w:val="single" w:color="BFBFBF" w:sz="4"/>
          <w:insideH w:val="single" w:color="BFBFBF" w:sz="2"/>
          <w:insideV w:val="single" w:color="BFBFBF" w:sz="2"/>
        </w:tblBorders>
      </w:tblPr>
      <w:tblGrid>
        <w:gridCol w:w="2400"/>
        <w:gridCol w:w="6600"/>
      </w:tblGrid>
      <w:tr>
        <w:trPr>
          <w:tblHeader/>
        </w:trPr>
        <w:tc>
          <w:tcPr>
            <w:tcW w:type="dxa" w:w="2400"/>
            <w:shd w:fill="595959" w:color="auto" w:val="clear"/>
            <w:tcMar>
              <w:top w:type="dxa" w:w="60"/>
              <w:left w:type="dxa" w:w="100"/>
              <w:bottom w:type="dxa" w:w="60"/>
              <w:right w:type="dxa" w:w="100"/>
            </w:tcMar>
          </w:tcPr>
          <w:p>
            <w:pPr>
              <w:spacing w:after="20" w:before="20"/>
            </w:pPr>
            <w:r>
              <w:rPr>
                <w:rFonts w:ascii="Open Sans" w:cs="Open Sans" w:eastAsia="Open Sans" w:hAnsi="Open Sans"/>
                <w:b/>
                <w:bCs/>
                <w:color w:val="FFFFFF"/>
                <w:sz w:val="18"/>
                <w:szCs w:val="18"/>
              </w:rPr>
              <w:t xml:space="preserve">Field</w:t>
            </w:r>
          </w:p>
        </w:tc>
        <w:tc>
          <w:tcPr>
            <w:tcW w:type="dxa" w:w="6600"/>
            <w:shd w:fill="595959" w:color="auto" w:val="clear"/>
            <w:tcMar>
              <w:top w:type="dxa" w:w="60"/>
              <w:left w:type="dxa" w:w="100"/>
              <w:bottom w:type="dxa" w:w="60"/>
              <w:right w:type="dxa" w:w="100"/>
            </w:tcMar>
          </w:tcPr>
          <w:p>
            <w:pPr>
              <w:spacing w:after="20" w:before="20"/>
            </w:pPr>
            <w:r>
              <w:rPr>
                <w:rFonts w:ascii="Open Sans" w:cs="Open Sans" w:eastAsia="Open Sans" w:hAnsi="Open Sans"/>
                <w:b/>
                <w:bCs/>
                <w:color w:val="FFFFFF"/>
                <w:sz w:val="18"/>
                <w:szCs w:val="18"/>
              </w:rPr>
              <w:t xml:space="preserve">Value</w:t>
            </w:r>
          </w:p>
        </w:tc>
      </w:tr>
      <w:tr>
        <w:tc>
          <w:tcPr>
            <w:tcW w:type="dxa" w:w="2400"/>
            <w:tcMar>
              <w:top w:type="dxa" w:w="60"/>
              <w:left w:type="dxa" w:w="100"/>
              <w:bottom w:type="dxa" w:w="60"/>
              <w:right w:type="dxa" w:w="100"/>
            </w:tcMar>
          </w:tcPr>
          <w:p>
            <w:pPr>
              <w:spacing w:after="20" w:before="20"/>
            </w:pPr>
            <w:r>
              <w:rPr>
                <w:rFonts w:ascii="Open Sans" w:cs="Open Sans" w:eastAsia="Open Sans" w:hAnsi="Open Sans"/>
                <w:b w:val="false"/>
                <w:bCs w:val="false"/>
                <w:color w:val="000000"/>
                <w:sz w:val="18"/>
                <w:szCs w:val="18"/>
              </w:rPr>
              <w:t xml:space="preserve">Module code</w:t>
            </w:r>
          </w:p>
        </w:tc>
        <w:tc>
          <w:tcPr>
            <w:tcW w:type="dxa" w:w="6600"/>
            <w:tcMar>
              <w:top w:type="dxa" w:w="60"/>
              <w:left w:type="dxa" w:w="100"/>
              <w:bottom w:type="dxa" w:w="60"/>
              <w:right w:type="dxa" w:w="100"/>
            </w:tcMar>
          </w:tcPr>
          <w:p>
            <w:pPr>
              <w:spacing w:after="20" w:before="20"/>
            </w:pPr>
            <w:r>
              <w:rPr>
                <w:rFonts w:ascii="Open Sans" w:cs="Open Sans" w:eastAsia="Open Sans" w:hAnsi="Open Sans"/>
                <w:b w:val="false"/>
                <w:bCs w:val="false"/>
                <w:color w:val="000000"/>
                <w:sz w:val="18"/>
                <w:szCs w:val="18"/>
              </w:rPr>
              <w:t xml:space="preserve">NB-SOCE-L4-AD-TT-05</w:t>
            </w:r>
          </w:p>
        </w:tc>
      </w:tr>
      <w:tr>
        <w:tc>
          <w:tcPr>
            <w:tcW w:type="dxa" w:w="2400"/>
            <w:shd w:fill="F2F2F2" w:color="auto" w:val="clear"/>
            <w:tcMar>
              <w:top w:type="dxa" w:w="60"/>
              <w:left w:type="dxa" w:w="100"/>
              <w:bottom w:type="dxa" w:w="60"/>
              <w:right w:type="dxa" w:w="100"/>
            </w:tcMar>
          </w:tcPr>
          <w:p>
            <w:pPr>
              <w:spacing w:after="20" w:before="20"/>
            </w:pPr>
            <w:r>
              <w:rPr>
                <w:rFonts w:ascii="Open Sans" w:cs="Open Sans" w:eastAsia="Open Sans" w:hAnsi="Open Sans"/>
                <w:b w:val="false"/>
                <w:bCs w:val="false"/>
                <w:color w:val="000000"/>
                <w:sz w:val="18"/>
                <w:szCs w:val="18"/>
              </w:rPr>
              <w:t xml:space="preserve">Category</w:t>
            </w:r>
          </w:p>
        </w:tc>
        <w:tc>
          <w:tcPr>
            <w:tcW w:type="dxa" w:w="6600"/>
            <w:shd w:fill="F2F2F2" w:color="auto" w:val="clear"/>
            <w:tcMar>
              <w:top w:type="dxa" w:w="60"/>
              <w:left w:type="dxa" w:w="100"/>
              <w:bottom w:type="dxa" w:w="60"/>
              <w:right w:type="dxa" w:w="100"/>
            </w:tcMar>
          </w:tcPr>
          <w:p>
            <w:pPr>
              <w:spacing w:after="20" w:before="20"/>
            </w:pPr>
            <w:r>
              <w:rPr>
                <w:rFonts w:ascii="Open Sans" w:cs="Open Sans" w:eastAsia="Open Sans" w:hAnsi="Open Sans"/>
                <w:b w:val="false"/>
                <w:bCs w:val="false"/>
                <w:color w:val="000000"/>
                <w:sz w:val="18"/>
                <w:szCs w:val="18"/>
              </w:rPr>
              <w:t xml:space="preserve">Pathway module, taught</w:t>
            </w:r>
          </w:p>
        </w:tc>
      </w:tr>
      <w:tr>
        <w:tc>
          <w:tcPr>
            <w:tcW w:type="dxa" w:w="2400"/>
            <w:tcMar>
              <w:top w:type="dxa" w:w="60"/>
              <w:left w:type="dxa" w:w="100"/>
              <w:bottom w:type="dxa" w:w="60"/>
              <w:right w:type="dxa" w:w="100"/>
            </w:tcMar>
          </w:tcPr>
          <w:p>
            <w:pPr>
              <w:spacing w:after="20" w:before="20"/>
            </w:pPr>
            <w:r>
              <w:rPr>
                <w:rFonts w:ascii="Open Sans" w:cs="Open Sans" w:eastAsia="Open Sans" w:hAnsi="Open Sans"/>
                <w:b w:val="false"/>
                <w:bCs w:val="false"/>
                <w:color w:val="000000"/>
                <w:sz w:val="18"/>
                <w:szCs w:val="18"/>
              </w:rPr>
              <w:t xml:space="preserve">Programme</w:t>
            </w:r>
          </w:p>
        </w:tc>
        <w:tc>
          <w:tcPr>
            <w:tcW w:type="dxa" w:w="6600"/>
            <w:tcMar>
              <w:top w:type="dxa" w:w="60"/>
              <w:left w:type="dxa" w:w="100"/>
              <w:bottom w:type="dxa" w:w="60"/>
              <w:right w:type="dxa" w:w="100"/>
            </w:tcMar>
          </w:tcPr>
          <w:p>
            <w:pPr>
              <w:spacing w:after="20" w:before="20"/>
            </w:pPr>
            <w:r>
              <w:rPr>
                <w:rFonts w:ascii="Open Sans" w:cs="Open Sans" w:eastAsia="Open Sans" w:hAnsi="Open Sans"/>
                <w:b w:val="false"/>
                <w:bCs w:val="false"/>
                <w:color w:val="000000"/>
                <w:sz w:val="18"/>
                <w:szCs w:val="18"/>
              </w:rPr>
              <w:t xml:space="preserve">BSc Computer Science with Artificial Intelligence and Data Science</w:t>
            </w:r>
          </w:p>
        </w:tc>
      </w:tr>
      <w:tr>
        <w:tc>
          <w:tcPr>
            <w:tcW w:type="dxa" w:w="2400"/>
            <w:shd w:fill="F2F2F2" w:color="auto" w:val="clear"/>
            <w:tcMar>
              <w:top w:type="dxa" w:w="60"/>
              <w:left w:type="dxa" w:w="100"/>
              <w:bottom w:type="dxa" w:w="60"/>
              <w:right w:type="dxa" w:w="100"/>
            </w:tcMar>
          </w:tcPr>
          <w:p>
            <w:pPr>
              <w:spacing w:after="20" w:before="20"/>
            </w:pPr>
            <w:r>
              <w:rPr>
                <w:rFonts w:ascii="Open Sans" w:cs="Open Sans" w:eastAsia="Open Sans" w:hAnsi="Open Sans"/>
                <w:b w:val="false"/>
                <w:bCs w:val="false"/>
                <w:color w:val="000000"/>
                <w:sz w:val="18"/>
                <w:szCs w:val="18"/>
              </w:rPr>
              <w:t xml:space="preserve">Status</w:t>
            </w:r>
          </w:p>
        </w:tc>
        <w:tc>
          <w:tcPr>
            <w:tcW w:type="dxa" w:w="6600"/>
            <w:shd w:fill="F2F2F2" w:color="auto" w:val="clear"/>
            <w:tcMar>
              <w:top w:type="dxa" w:w="60"/>
              <w:left w:type="dxa" w:w="100"/>
              <w:bottom w:type="dxa" w:w="60"/>
              <w:right w:type="dxa" w:w="100"/>
            </w:tcMar>
          </w:tcPr>
          <w:p>
            <w:pPr>
              <w:spacing w:after="20" w:before="20"/>
            </w:pPr>
            <w:r>
              <w:rPr>
                <w:rFonts w:ascii="Open Sans" w:cs="Open Sans" w:eastAsia="Open Sans" w:hAnsi="Open Sans"/>
                <w:b w:val="false"/>
                <w:bCs w:val="false"/>
                <w:color w:val="000000"/>
                <w:sz w:val="18"/>
                <w:szCs w:val="18"/>
              </w:rPr>
              <w:t xml:space="preserve">Draft for review, version 1.0</w:t>
            </w:r>
          </w:p>
        </w:tc>
      </w:tr>
      <w:tr>
        <w:tc>
          <w:tcPr>
            <w:tcW w:type="dxa" w:w="2400"/>
            <w:tcMar>
              <w:top w:type="dxa" w:w="60"/>
              <w:left w:type="dxa" w:w="100"/>
              <w:bottom w:type="dxa" w:w="60"/>
              <w:right w:type="dxa" w:w="100"/>
            </w:tcMar>
          </w:tcPr>
          <w:p>
            <w:pPr>
              <w:spacing w:after="20" w:before="20"/>
            </w:pPr>
            <w:r>
              <w:rPr>
                <w:rFonts w:ascii="Open Sans" w:cs="Open Sans" w:eastAsia="Open Sans" w:hAnsi="Open Sans"/>
                <w:b w:val="false"/>
                <w:bCs w:val="false"/>
                <w:color w:val="000000"/>
                <w:sz w:val="18"/>
                <w:szCs w:val="18"/>
              </w:rPr>
              <w:t xml:space="preserve">Date</w:t>
            </w:r>
          </w:p>
        </w:tc>
        <w:tc>
          <w:tcPr>
            <w:tcW w:type="dxa" w:w="6600"/>
            <w:tcMar>
              <w:top w:type="dxa" w:w="60"/>
              <w:left w:type="dxa" w:w="100"/>
              <w:bottom w:type="dxa" w:w="60"/>
              <w:right w:type="dxa" w:w="100"/>
            </w:tcMar>
          </w:tcPr>
          <w:p>
            <w:pPr>
              <w:spacing w:after="20" w:before="20"/>
            </w:pPr>
            <w:r>
              <w:rPr>
                <w:rFonts w:ascii="Open Sans" w:cs="Open Sans" w:eastAsia="Open Sans" w:hAnsi="Open Sans"/>
                <w:b w:val="false"/>
                <w:bCs w:val="false"/>
                <w:color w:val="000000"/>
                <w:sz w:val="18"/>
                <w:szCs w:val="18"/>
              </w:rPr>
              <w:t xml:space="preserve">22 July 2026</w:t>
            </w:r>
          </w:p>
        </w:tc>
      </w:tr>
      <w:tr>
        <w:tc>
          <w:tcPr>
            <w:tcW w:type="dxa" w:w="2400"/>
            <w:shd w:fill="F2F2F2" w:color="auto" w:val="clear"/>
            <w:tcMar>
              <w:top w:type="dxa" w:w="60"/>
              <w:left w:type="dxa" w:w="100"/>
              <w:bottom w:type="dxa" w:w="60"/>
              <w:right w:type="dxa" w:w="100"/>
            </w:tcMar>
          </w:tcPr>
          <w:p>
            <w:pPr>
              <w:spacing w:after="20" w:before="20"/>
            </w:pPr>
            <w:r>
              <w:rPr>
                <w:rFonts w:ascii="Open Sans" w:cs="Open Sans" w:eastAsia="Open Sans" w:hAnsi="Open Sans"/>
                <w:b w:val="false"/>
                <w:bCs w:val="false"/>
                <w:color w:val="000000"/>
                <w:sz w:val="18"/>
                <w:szCs w:val="18"/>
              </w:rPr>
              <w:t xml:space="preserve">Sources</w:t>
            </w:r>
          </w:p>
        </w:tc>
        <w:tc>
          <w:tcPr>
            <w:tcW w:type="dxa" w:w="6600"/>
            <w:shd w:fill="F2F2F2" w:color="auto" w:val="clear"/>
            <w:tcMar>
              <w:top w:type="dxa" w:w="60"/>
              <w:left w:type="dxa" w:w="100"/>
              <w:bottom w:type="dxa" w:w="60"/>
              <w:right w:type="dxa" w:w="100"/>
            </w:tcMar>
          </w:tcPr>
          <w:p>
            <w:pPr>
              <w:spacing w:after="20" w:before="20"/>
            </w:pPr>
            <w:r>
              <w:rPr>
                <w:rFonts w:ascii="Open Sans" w:cs="Open Sans" w:eastAsia="Open Sans" w:hAnsi="Open Sans"/>
                <w:b w:val="false"/>
                <w:bCs w:val="false"/>
                <w:color w:val="000000"/>
                <w:sz w:val="18"/>
                <w:szCs w:val="18"/>
              </w:rPr>
              <w:t xml:space="preserve">School curriculum decision records; Sri Lanka Qualifications Framework (September 2015 edition, University Grants Commission); partner university module descriptors</w:t>
            </w:r>
          </w:p>
        </w:tc>
      </w:tr>
    </w:tbl>
    <w:p>
      <w:pPr>
        <w:spacing w:after="120" w:before="240"/>
      </w:pPr>
      <w:r>
        <w:rPr>
          <w:rFonts w:ascii="Open Sans" w:cs="Open Sans" w:eastAsia="Open Sans" w:hAnsi="Open Sans"/>
          <w:b/>
          <w:bCs/>
          <w:color w:val="000000"/>
          <w:sz w:val="24"/>
          <w:szCs w:val="24"/>
        </w:rPr>
        <w:t xml:space="preserve">1. Module Identity and Architecture</w:t>
      </w:r>
    </w:p>
    <w:tbl>
      <w:tblPr>
        <w:tblW w:type="dxa" w:w="9000"/>
        <w:tblBorders>
          <w:top w:val="single" w:color="BFBFBF" w:sz="4"/>
          <w:left w:val="single" w:color="BFBFBF" w:sz="4"/>
          <w:bottom w:val="single" w:color="BFBFBF" w:sz="4"/>
          <w:right w:val="single" w:color="BFBFBF" w:sz="4"/>
          <w:insideH w:val="single" w:color="BFBFBF" w:sz="2"/>
          <w:insideV w:val="single" w:color="BFBFBF" w:sz="2"/>
        </w:tblBorders>
      </w:tblPr>
      <w:tblGrid>
        <w:gridCol w:w="2400"/>
        <w:gridCol w:w="6600"/>
      </w:tblGrid>
      <w:tr>
        <w:trPr>
          <w:tblHeader/>
        </w:trPr>
        <w:tc>
          <w:tcPr>
            <w:tcW w:type="dxa" w:w="2400"/>
            <w:shd w:fill="595959" w:color="auto" w:val="clear"/>
            <w:tcMar>
              <w:top w:type="dxa" w:w="60"/>
              <w:left w:type="dxa" w:w="100"/>
              <w:bottom w:type="dxa" w:w="60"/>
              <w:right w:type="dxa" w:w="100"/>
            </w:tcMar>
          </w:tcPr>
          <w:p>
            <w:pPr>
              <w:spacing w:after="20" w:before="20"/>
            </w:pPr>
            <w:r>
              <w:rPr>
                <w:rFonts w:ascii="Open Sans" w:cs="Open Sans" w:eastAsia="Open Sans" w:hAnsi="Open Sans"/>
                <w:b/>
                <w:bCs/>
                <w:color w:val="FFFFFF"/>
                <w:sz w:val="18"/>
                <w:szCs w:val="18"/>
              </w:rPr>
              <w:t xml:space="preserve">Field</w:t>
            </w:r>
          </w:p>
        </w:tc>
        <w:tc>
          <w:tcPr>
            <w:tcW w:type="dxa" w:w="6600"/>
            <w:shd w:fill="595959" w:color="auto" w:val="clear"/>
            <w:tcMar>
              <w:top w:type="dxa" w:w="60"/>
              <w:left w:type="dxa" w:w="100"/>
              <w:bottom w:type="dxa" w:w="60"/>
              <w:right w:type="dxa" w:w="100"/>
            </w:tcMar>
          </w:tcPr>
          <w:p>
            <w:pPr>
              <w:spacing w:after="20" w:before="20"/>
            </w:pPr>
            <w:r>
              <w:rPr>
                <w:rFonts w:ascii="Open Sans" w:cs="Open Sans" w:eastAsia="Open Sans" w:hAnsi="Open Sans"/>
                <w:b/>
                <w:bCs/>
                <w:color w:val="FFFFFF"/>
                <w:sz w:val="18"/>
                <w:szCs w:val="18"/>
              </w:rPr>
              <w:t xml:space="preserve">Value</w:t>
            </w:r>
          </w:p>
        </w:tc>
      </w:tr>
      <w:tr>
        <w:tc>
          <w:tcPr>
            <w:tcW w:type="dxa" w:w="2400"/>
            <w:tcMar>
              <w:top w:type="dxa" w:w="60"/>
              <w:left w:type="dxa" w:w="100"/>
              <w:bottom w:type="dxa" w:w="60"/>
              <w:right w:type="dxa" w:w="100"/>
            </w:tcMar>
          </w:tcPr>
          <w:p>
            <w:pPr>
              <w:spacing w:after="20" w:before="20"/>
            </w:pPr>
            <w:r>
              <w:rPr>
                <w:rFonts w:ascii="Open Sans" w:cs="Open Sans" w:eastAsia="Open Sans" w:hAnsi="Open Sans"/>
                <w:b w:val="false"/>
                <w:bCs w:val="false"/>
                <w:color w:val="000000"/>
                <w:sz w:val="18"/>
                <w:szCs w:val="18"/>
              </w:rPr>
              <w:t xml:space="preserve">Module title</w:t>
            </w:r>
          </w:p>
        </w:tc>
        <w:tc>
          <w:tcPr>
            <w:tcW w:type="dxa" w:w="6600"/>
            <w:tcMar>
              <w:top w:type="dxa" w:w="60"/>
              <w:left w:type="dxa" w:w="100"/>
              <w:bottom w:type="dxa" w:w="60"/>
              <w:right w:type="dxa" w:w="100"/>
            </w:tcMar>
          </w:tcPr>
          <w:p>
            <w:pPr>
              <w:spacing w:after="20" w:before="20"/>
            </w:pPr>
            <w:r>
              <w:rPr>
                <w:rFonts w:ascii="Open Sans" w:cs="Open Sans" w:eastAsia="Open Sans" w:hAnsi="Open Sans"/>
                <w:b w:val="false"/>
                <w:bCs w:val="false"/>
                <w:color w:val="000000"/>
                <w:sz w:val="18"/>
                <w:szCs w:val="18"/>
              </w:rPr>
              <w:t xml:space="preserve">Data Engineering and Pipelines</w:t>
            </w:r>
          </w:p>
        </w:tc>
      </w:tr>
      <w:tr>
        <w:tc>
          <w:tcPr>
            <w:tcW w:type="dxa" w:w="2400"/>
            <w:shd w:fill="F2F2F2" w:color="auto" w:val="clear"/>
            <w:tcMar>
              <w:top w:type="dxa" w:w="60"/>
              <w:left w:type="dxa" w:w="100"/>
              <w:bottom w:type="dxa" w:w="60"/>
              <w:right w:type="dxa" w:w="100"/>
            </w:tcMar>
          </w:tcPr>
          <w:p>
            <w:pPr>
              <w:spacing w:after="20" w:before="20"/>
            </w:pPr>
            <w:r>
              <w:rPr>
                <w:rFonts w:ascii="Open Sans" w:cs="Open Sans" w:eastAsia="Open Sans" w:hAnsi="Open Sans"/>
                <w:b w:val="false"/>
                <w:bCs w:val="false"/>
                <w:color w:val="000000"/>
                <w:sz w:val="18"/>
                <w:szCs w:val="18"/>
              </w:rPr>
              <w:t xml:space="preserve">SLQF level and credits</w:t>
            </w:r>
          </w:p>
        </w:tc>
        <w:tc>
          <w:tcPr>
            <w:tcW w:type="dxa" w:w="6600"/>
            <w:shd w:fill="F2F2F2" w:color="auto" w:val="clear"/>
            <w:tcMar>
              <w:top w:type="dxa" w:w="60"/>
              <w:left w:type="dxa" w:w="100"/>
              <w:bottom w:type="dxa" w:w="60"/>
              <w:right w:type="dxa" w:w="100"/>
            </w:tcMar>
          </w:tcPr>
          <w:p>
            <w:pPr>
              <w:spacing w:after="20" w:before="20"/>
            </w:pPr>
            <w:r>
              <w:rPr>
                <w:rFonts w:ascii="Open Sans" w:cs="Open Sans" w:eastAsia="Open Sans" w:hAnsi="Open Sans"/>
                <w:b w:val="false"/>
                <w:bCs w:val="false"/>
                <w:color w:val="000000"/>
                <w:sz w:val="18"/>
                <w:szCs w:val="18"/>
              </w:rPr>
              <w:t xml:space="preserve">Level 4 (Year 2); 3 credits; 150 notional hours</w:t>
            </w:r>
          </w:p>
        </w:tc>
      </w:tr>
      <w:tr>
        <w:tc>
          <w:tcPr>
            <w:tcW w:type="dxa" w:w="2400"/>
            <w:tcMar>
              <w:top w:type="dxa" w:w="60"/>
              <w:left w:type="dxa" w:w="100"/>
              <w:bottom w:type="dxa" w:w="60"/>
              <w:right w:type="dxa" w:w="100"/>
            </w:tcMar>
          </w:tcPr>
          <w:p>
            <w:pPr>
              <w:spacing w:after="20" w:before="20"/>
            </w:pPr>
            <w:r>
              <w:rPr>
                <w:rFonts w:ascii="Open Sans" w:cs="Open Sans" w:eastAsia="Open Sans" w:hAnsi="Open Sans"/>
                <w:b w:val="false"/>
                <w:bCs w:val="false"/>
                <w:color w:val="000000"/>
                <w:sz w:val="18"/>
                <w:szCs w:val="18"/>
              </w:rPr>
              <w:t xml:space="preserve">Feeder targets</w:t>
            </w:r>
          </w:p>
        </w:tc>
        <w:tc>
          <w:tcPr>
            <w:tcW w:type="dxa" w:w="6600"/>
            <w:tcMar>
              <w:top w:type="dxa" w:w="60"/>
              <w:left w:type="dxa" w:w="100"/>
              <w:bottom w:type="dxa" w:w="60"/>
              <w:right w:type="dxa" w:w="100"/>
            </w:tcMar>
          </w:tcPr>
          <w:p>
            <w:pPr>
              <w:spacing w:after="20" w:before="20"/>
            </w:pPr>
            <w:r>
              <w:rPr>
                <w:rFonts w:ascii="Open Sans" w:cs="Open Sans" w:eastAsia="Open Sans" w:hAnsi="Open Sans"/>
                <w:b w:val="false"/>
                <w:bCs w:val="false"/>
                <w:color w:val="000000"/>
                <w:sz w:val="18"/>
                <w:szCs w:val="18"/>
              </w:rPr>
              <w:t xml:space="preserve">NB5005CEM Data Science, for data-handling and Big Data foundations. NB6024CEM Data Visualisation, which assumes prepared data. The module also serves the data-engineer graduate profile directly.</w:t>
            </w:r>
          </w:p>
        </w:tc>
      </w:tr>
      <w:tr>
        <w:tc>
          <w:tcPr>
            <w:tcW w:type="dxa" w:w="2400"/>
            <w:shd w:fill="F2F2F2" w:color="auto" w:val="clear"/>
            <w:tcMar>
              <w:top w:type="dxa" w:w="60"/>
              <w:left w:type="dxa" w:w="100"/>
              <w:bottom w:type="dxa" w:w="60"/>
              <w:right w:type="dxa" w:w="100"/>
            </w:tcMar>
          </w:tcPr>
          <w:p>
            <w:pPr>
              <w:spacing w:after="20" w:before="20"/>
            </w:pPr>
            <w:r>
              <w:rPr>
                <w:rFonts w:ascii="Open Sans" w:cs="Open Sans" w:eastAsia="Open Sans" w:hAnsi="Open Sans"/>
                <w:b w:val="false"/>
                <w:bCs w:val="false"/>
                <w:color w:val="000000"/>
                <w:sz w:val="18"/>
                <w:szCs w:val="18"/>
              </w:rPr>
              <w:t xml:space="preserve">Prerequisites</w:t>
            </w:r>
          </w:p>
        </w:tc>
        <w:tc>
          <w:tcPr>
            <w:tcW w:type="dxa" w:w="6600"/>
            <w:shd w:fill="F2F2F2" w:color="auto" w:val="clear"/>
            <w:tcMar>
              <w:top w:type="dxa" w:w="60"/>
              <w:left w:type="dxa" w:w="100"/>
              <w:bottom w:type="dxa" w:w="60"/>
              <w:right w:type="dxa" w:w="100"/>
            </w:tcMar>
          </w:tcPr>
          <w:p>
            <w:pPr>
              <w:spacing w:after="20" w:before="20"/>
            </w:pPr>
            <w:r>
              <w:rPr>
                <w:rFonts w:ascii="Open Sans" w:cs="Open Sans" w:eastAsia="Open Sans" w:hAnsi="Open Sans"/>
                <w:b w:val="false"/>
                <w:bCs w:val="false"/>
                <w:color w:val="000000"/>
                <w:sz w:val="18"/>
                <w:szCs w:val="18"/>
              </w:rPr>
              <w:t xml:space="preserve">Data Models and Management Systems, which supplies SQL introduction, querying practice and DBMS use. This is a named prerequisite in the two-module sequence, not a general recommendation. Applied Data Exploration, for data handling.</w:t>
            </w:r>
          </w:p>
        </w:tc>
      </w:tr>
      <w:tr>
        <w:tc>
          <w:tcPr>
            <w:tcW w:type="dxa" w:w="2400"/>
            <w:tcMar>
              <w:top w:type="dxa" w:w="60"/>
              <w:left w:type="dxa" w:w="100"/>
              <w:bottom w:type="dxa" w:w="60"/>
              <w:right w:type="dxa" w:w="100"/>
            </w:tcMar>
          </w:tcPr>
          <w:p>
            <w:pPr>
              <w:spacing w:after="20" w:before="20"/>
            </w:pPr>
            <w:r>
              <w:rPr>
                <w:rFonts w:ascii="Open Sans" w:cs="Open Sans" w:eastAsia="Open Sans" w:hAnsi="Open Sans"/>
                <w:b w:val="false"/>
                <w:bCs w:val="false"/>
                <w:color w:val="000000"/>
                <w:sz w:val="18"/>
                <w:szCs w:val="18"/>
              </w:rPr>
              <w:t xml:space="preserve">Delivery mode</w:t>
            </w:r>
          </w:p>
        </w:tc>
        <w:tc>
          <w:tcPr>
            <w:tcW w:type="dxa" w:w="6600"/>
            <w:tcMar>
              <w:top w:type="dxa" w:w="60"/>
              <w:left w:type="dxa" w:w="100"/>
              <w:bottom w:type="dxa" w:w="60"/>
              <w:right w:type="dxa" w:w="100"/>
            </w:tcMar>
          </w:tcPr>
          <w:p>
            <w:pPr>
              <w:spacing w:after="20" w:before="20"/>
            </w:pPr>
            <w:r>
              <w:rPr>
                <w:rFonts w:ascii="Open Sans" w:cs="Open Sans" w:eastAsia="Open Sans" w:hAnsi="Open Sans"/>
                <w:b w:val="false"/>
                <w:bCs w:val="false"/>
                <w:color w:val="000000"/>
                <w:sz w:val="18"/>
                <w:szCs w:val="18"/>
              </w:rPr>
              <w:t xml:space="preserve">Session-based delivery in 3-hour blocks; 16 lecture sessions plus tutorials, practicals and demonstration</w:t>
            </w:r>
          </w:p>
        </w:tc>
      </w:tr>
      <w:tr>
        <w:tc>
          <w:tcPr>
            <w:tcW w:type="dxa" w:w="2400"/>
            <w:shd w:fill="F2F2F2" w:color="auto" w:val="clear"/>
            <w:tcMar>
              <w:top w:type="dxa" w:w="60"/>
              <w:left w:type="dxa" w:w="100"/>
              <w:bottom w:type="dxa" w:w="60"/>
              <w:right w:type="dxa" w:w="100"/>
            </w:tcMar>
          </w:tcPr>
          <w:p>
            <w:pPr>
              <w:spacing w:after="20" w:before="20"/>
            </w:pPr>
            <w:r>
              <w:rPr>
                <w:rFonts w:ascii="Open Sans" w:cs="Open Sans" w:eastAsia="Open Sans" w:hAnsi="Open Sans"/>
                <w:b w:val="false"/>
                <w:bCs w:val="false"/>
                <w:color w:val="000000"/>
                <w:sz w:val="18"/>
                <w:szCs w:val="18"/>
              </w:rPr>
              <w:t xml:space="preserve">Progression role</w:t>
            </w:r>
          </w:p>
        </w:tc>
        <w:tc>
          <w:tcPr>
            <w:tcW w:type="dxa" w:w="6600"/>
            <w:shd w:fill="F2F2F2" w:color="auto" w:val="clear"/>
            <w:tcMar>
              <w:top w:type="dxa" w:w="60"/>
              <w:left w:type="dxa" w:w="100"/>
              <w:bottom w:type="dxa" w:w="60"/>
              <w:right w:type="dxa" w:w="100"/>
            </w:tcMar>
          </w:tcPr>
          <w:p>
            <w:pPr>
              <w:spacing w:after="20" w:before="20"/>
            </w:pPr>
            <w:r>
              <w:rPr>
                <w:rFonts w:ascii="Open Sans" w:cs="Open Sans" w:eastAsia="Open Sans" w:hAnsi="Open Sans"/>
                <w:b w:val="false"/>
                <w:bCs w:val="false"/>
                <w:color w:val="000000"/>
                <w:sz w:val="18"/>
                <w:szCs w:val="18"/>
              </w:rPr>
              <w:t xml:space="preserve">Year 2 pathway module; not a bridging module. Transfer note: students whose previous programme did not include Data Models and Management Systems arrive without the SQL base this module assumes and must complete it before entry. This is a hard requirement, because the module begins at schema design and never returns to introduce SQL.</w:t>
            </w:r>
          </w:p>
        </w:tc>
      </w:tr>
      <w:tr>
        <w:tc>
          <w:tcPr>
            <w:tcW w:type="dxa" w:w="2400"/>
            <w:tcMar>
              <w:top w:type="dxa" w:w="60"/>
              <w:left w:type="dxa" w:w="100"/>
              <w:bottom w:type="dxa" w:w="60"/>
              <w:right w:type="dxa" w:w="100"/>
            </w:tcMar>
          </w:tcPr>
          <w:p>
            <w:pPr>
              <w:spacing w:after="20" w:before="20"/>
            </w:pPr>
            <w:r>
              <w:rPr>
                <w:rFonts w:ascii="Open Sans" w:cs="Open Sans" w:eastAsia="Open Sans" w:hAnsi="Open Sans"/>
                <w:b w:val="false"/>
                <w:bCs w:val="false"/>
                <w:color w:val="000000"/>
                <w:sz w:val="18"/>
                <w:szCs w:val="18"/>
              </w:rPr>
              <w:t xml:space="preserve">Exit-award relevance</w:t>
            </w:r>
          </w:p>
        </w:tc>
        <w:tc>
          <w:tcPr>
            <w:tcW w:type="dxa" w:w="6600"/>
            <w:tcMar>
              <w:top w:type="dxa" w:w="60"/>
              <w:left w:type="dxa" w:w="100"/>
              <w:bottom w:type="dxa" w:w="60"/>
              <w:right w:type="dxa" w:w="100"/>
            </w:tcMar>
          </w:tcPr>
          <w:p>
            <w:pPr>
              <w:spacing w:after="20" w:before="20"/>
            </w:pPr>
            <w:r>
              <w:rPr>
                <w:rFonts w:ascii="Open Sans" w:cs="Open Sans" w:eastAsia="Open Sans" w:hAnsi="Open Sans"/>
                <w:b w:val="false"/>
                <w:bCs w:val="false"/>
                <w:color w:val="000000"/>
                <w:sz w:val="18"/>
                <w:szCs w:val="18"/>
              </w:rPr>
              <w:t xml:space="preserve">Data-engineering competency in the pathway profile at Higher National Diploma level. SQL as an industry screening competency is evidenced twice across the two-module sequence, which is a deliberate design feature rather than duplication. Exit-award requirements remain subject to change and additional requirements may be introduced by the accrediting authority; the specification remains adaptable.</w:t>
            </w:r>
          </w:p>
        </w:tc>
      </w:tr>
    </w:tbl>
    <w:p>
      <w:pPr>
        <w:spacing w:after="120" w:before="240"/>
      </w:pPr>
      <w:r>
        <w:rPr>
          <w:rFonts w:ascii="Open Sans" w:cs="Open Sans" w:eastAsia="Open Sans" w:hAnsi="Open Sans"/>
          <w:b/>
          <w:bCs/>
          <w:color w:val="000000"/>
          <w:sz w:val="24"/>
          <w:szCs w:val="24"/>
        </w:rPr>
        <w:t xml:space="preserve">2. Module Purpose and Aims</w:t>
      </w:r>
    </w:p>
    <w:p>
      <w:pPr>
        <w:spacing w:after="80" w:before="80"/>
      </w:pPr>
      <w:r>
        <w:rPr>
          <w:rFonts w:ascii="Open Sans" w:cs="Open Sans" w:eastAsia="Open Sans" w:hAnsi="Open Sans"/>
          <w:b w:val="false"/>
          <w:bCs w:val="false"/>
          <w:i w:val="false"/>
          <w:iCs w:val="false"/>
          <w:color w:val="000000"/>
          <w:sz w:val="20"/>
          <w:szCs w:val="20"/>
        </w:rPr>
        <w:t xml:space="preserve">This module teaches students to build the thing that everything downstream assumes exists: a data store designed on purpose, and a repeatable process that fills it. It is the engineering half of a two-module sequence. The first module taught students to use a database and query it; this one teaches them to design one and to move data into it reliably.</w:t>
      </w:r>
    </w:p>
    <w:p>
      <w:pPr>
        <w:spacing w:after="80" w:before="80"/>
      </w:pPr>
      <w:r>
        <w:rPr>
          <w:rFonts w:ascii="Open Sans" w:cs="Open Sans" w:eastAsia="Open Sans" w:hAnsi="Open Sans"/>
          <w:b w:val="false"/>
          <w:bCs w:val="false"/>
          <w:i w:val="false"/>
          <w:iCs w:val="false"/>
          <w:color w:val="000000"/>
          <w:sz w:val="20"/>
          <w:szCs w:val="20"/>
        </w:rPr>
        <w:t xml:space="preserve">The sequence should be read as deliberate rather than as overlap. SQL introduction sits in the earlier module and the design-and-engineering side sits here, and the boundary carries an explicit instruction that this side must not be thinned. In practice the module starts at schema design and never revisits query syntax as a teaching topic, although queries are written constantly.</w:t>
      </w:r>
    </w:p>
    <w:p>
      <w:pPr>
        <w:spacing w:after="80" w:before="80"/>
      </w:pPr>
      <w:r>
        <w:rPr>
          <w:rFonts w:ascii="Open Sans" w:cs="Open Sans" w:eastAsia="Open Sans" w:hAnsi="Open Sans"/>
          <w:b w:val="false"/>
          <w:bCs w:val="false"/>
          <w:i w:val="false"/>
          <w:iCs w:val="false"/>
          <w:color w:val="000000"/>
          <w:sz w:val="20"/>
          <w:szCs w:val="20"/>
        </w:rPr>
        <w:t xml:space="preserve">The scope limits are three. Database administration is excluded, so tuning, backup and operational management are not taught even though indexing awareness is. Statistical analysis belongs to Statistical Methods and Analysis. Visualisation belongs to Data Visualisation and Insight, which consumes this module’s output rather than sharing its territory.</w:t>
      </w:r>
    </w:p>
    <w:p>
      <w:pPr>
        <w:spacing w:after="80" w:before="160"/>
      </w:pPr>
      <w:r>
        <w:rPr>
          <w:rFonts w:ascii="Open Sans" w:cs="Open Sans" w:eastAsia="Open Sans" w:hAnsi="Open Sans"/>
          <w:b/>
          <w:bCs/>
          <w:i w:val="false"/>
          <w:iCs w:val="false"/>
          <w:color w:val="000000"/>
          <w:sz w:val="20"/>
          <w:szCs w:val="20"/>
        </w:rPr>
        <w:t xml:space="preserve">Specification boundary</w:t>
      </w:r>
    </w:p>
    <w:tbl>
      <w:tblPr>
        <w:tblW w:type="dxa" w:w="9000"/>
        <w:tblBorders>
          <w:top w:val="none" w:color="FFFFFF" w:sz="0"/>
          <w:left w:val="single" w:color="595959" w:sz="18"/>
          <w:bottom w:val="none" w:color="FFFFFF" w:sz="0"/>
          <w:right w:val="none" w:color="FFFFFF" w:sz="0"/>
          <w:insideH w:val="none" w:color="FFFFFF" w:sz="0"/>
          <w:insideV w:val="none" w:color="FFFFFF" w:sz="0"/>
        </w:tblBorders>
      </w:tblPr>
      <w:tblGrid>
        <w:gridCol w:w="9000"/>
      </w:tblGrid>
      <w:tr>
        <w:tc>
          <w:tcPr>
            <w:tcW w:type="dxa" w:w="9000"/>
            <w:shd w:fill="F7F7F7" w:color="auto" w:val="clear"/>
            <w:tcMar>
              <w:top w:type="dxa" w:w="140"/>
              <w:left w:type="dxa" w:w="200"/>
              <w:bottom w:type="dxa" w:w="140"/>
              <w:right w:type="dxa" w:w="160"/>
            </w:tcMar>
          </w:tcPr>
          <w:p>
            <w:pPr>
              <w:spacing w:after="40" w:before="40"/>
            </w:pPr>
            <w:r>
              <w:rPr>
                <w:rFonts w:ascii="Open Sans" w:cs="Open Sans" w:eastAsia="Open Sans" w:hAnsi="Open Sans"/>
                <w:b/>
                <w:bCs/>
                <w:sz w:val="18"/>
                <w:szCs w:val="18"/>
              </w:rPr>
              <w:t xml:space="preserve">Covers: </w:t>
            </w:r>
            <w:r>
              <w:rPr>
                <w:rFonts w:ascii="Open Sans" w:cs="Open Sans" w:eastAsia="Open Sans" w:hAnsi="Open Sans"/>
                <w:i w:val="false"/>
                <w:iCs w:val="false"/>
                <w:sz w:val="18"/>
                <w:szCs w:val="18"/>
              </w:rPr>
              <w:t xml:space="preserve">relational schema design and normalisation; querying in engineering contexts, covering multi-table joins at scale, views and indexing awareness; data pipelines and extract, transform and load processes; warehousing concepts; non-relational data handling. This module holds the design-and-engineering side of the two-module data sequence and must not thin it.</w:t>
            </w:r>
          </w:p>
          <w:p>
            <w:pPr>
              <w:spacing w:after="40" w:before="40"/>
            </w:pPr>
            <w:r>
              <w:rPr>
                <w:rFonts w:ascii="Open Sans" w:cs="Open Sans" w:eastAsia="Open Sans" w:hAnsi="Open Sans"/>
                <w:b/>
                <w:bCs/>
                <w:sz w:val="18"/>
                <w:szCs w:val="18"/>
              </w:rPr>
              <w:t xml:space="preserve">Does not cover: </w:t>
            </w:r>
            <w:r>
              <w:rPr>
                <w:rFonts w:ascii="Open Sans" w:cs="Open Sans" w:eastAsia="Open Sans" w:hAnsi="Open Sans"/>
                <w:i w:val="false"/>
                <w:iCs w:val="false"/>
                <w:sz w:val="18"/>
                <w:szCs w:val="18"/>
              </w:rPr>
              <w:t xml:space="preserve">SQL introduction and DBMS use, which are covered by Data Models and Management Systems; production database administration; statistical analysis, which is covered by Statistical Methods and Analysis; visualisation, which is covered by Data Visualisation and Insight.</w:t>
            </w:r>
          </w:p>
          <w:p>
            <w:pPr>
              <w:spacing w:after="40" w:before="40"/>
            </w:pPr>
            <w:r>
              <w:rPr>
                <w:rFonts w:ascii="Open Sans" w:cs="Open Sans" w:eastAsia="Open Sans" w:hAnsi="Open Sans"/>
                <w:b/>
                <w:bCs/>
                <w:sz w:val="18"/>
                <w:szCs w:val="18"/>
              </w:rPr>
              <w:t xml:space="preserve"/>
            </w:r>
            <w:r>
              <w:rPr>
                <w:rFonts w:ascii="Open Sans" w:cs="Open Sans" w:eastAsia="Open Sans" w:hAnsi="Open Sans"/>
                <w:i/>
                <w:iCs/>
                <w:sz w:val="18"/>
                <w:szCs w:val="18"/>
              </w:rPr>
              <w:t xml:space="preserve">Changes to this boundary are made only through the School’s formal change-control process, not by amendment of this descriptor.</w:t>
            </w:r>
          </w:p>
        </w:tc>
      </w:tr>
    </w:tbl>
    <w:p>
      <w:pPr>
        <w:spacing w:after="120" w:before="240"/>
      </w:pPr>
      <w:r>
        <w:rPr>
          <w:rFonts w:ascii="Open Sans" w:cs="Open Sans" w:eastAsia="Open Sans" w:hAnsi="Open Sans"/>
          <w:b/>
          <w:bCs/>
          <w:color w:val="000000"/>
          <w:sz w:val="24"/>
          <w:szCs w:val="24"/>
        </w:rPr>
        <w:t xml:space="preserve">3. Learning Outcomes</w:t>
      </w:r>
    </w:p>
    <w:p>
      <w:pPr>
        <w:spacing w:after="80" w:before="80"/>
      </w:pPr>
      <w:r>
        <w:rPr>
          <w:rFonts w:ascii="Open Sans" w:cs="Open Sans" w:eastAsia="Open Sans" w:hAnsi="Open Sans"/>
          <w:b w:val="false"/>
          <w:bCs w:val="false"/>
          <w:i w:val="false"/>
          <w:iCs w:val="false"/>
          <w:color w:val="000000"/>
          <w:sz w:val="20"/>
          <w:szCs w:val="20"/>
        </w:rPr>
        <w:t xml:space="preserve">On successful completion of this module, a student will be able to:</w:t>
      </w:r>
    </w:p>
    <w:tbl>
      <w:tblPr>
        <w:tblW w:type="dxa" w:w="9000"/>
        <w:tblBorders>
          <w:top w:val="single" w:color="BFBFBF" w:sz="4"/>
          <w:left w:val="single" w:color="BFBFBF" w:sz="4"/>
          <w:bottom w:val="single" w:color="BFBFBF" w:sz="4"/>
          <w:right w:val="single" w:color="BFBFBF" w:sz="4"/>
          <w:insideH w:val="single" w:color="BFBFBF" w:sz="2"/>
          <w:insideV w:val="single" w:color="BFBFBF" w:sz="2"/>
        </w:tblBorders>
      </w:tblPr>
      <w:tblGrid>
        <w:gridCol w:w="700"/>
        <w:gridCol w:w="6100"/>
        <w:gridCol w:w="2200"/>
      </w:tblGrid>
      <w:tr>
        <w:trPr>
          <w:tblHeader/>
        </w:trPr>
        <w:tc>
          <w:tcPr>
            <w:tcW w:type="dxa" w:w="700"/>
            <w:shd w:fill="595959" w:color="auto" w:val="clear"/>
            <w:tcMar>
              <w:top w:type="dxa" w:w="60"/>
              <w:left w:type="dxa" w:w="100"/>
              <w:bottom w:type="dxa" w:w="60"/>
              <w:right w:type="dxa" w:w="100"/>
            </w:tcMar>
          </w:tcPr>
          <w:p>
            <w:pPr>
              <w:spacing w:after="20" w:before="20"/>
            </w:pPr>
            <w:r>
              <w:rPr>
                <w:rFonts w:ascii="Open Sans" w:cs="Open Sans" w:eastAsia="Open Sans" w:hAnsi="Open Sans"/>
                <w:b/>
                <w:bCs/>
                <w:color w:val="FFFFFF"/>
                <w:sz w:val="18"/>
                <w:szCs w:val="18"/>
              </w:rPr>
              <w:t xml:space="preserve">Ref</w:t>
            </w:r>
          </w:p>
        </w:tc>
        <w:tc>
          <w:tcPr>
            <w:tcW w:type="dxa" w:w="6100"/>
            <w:shd w:fill="595959" w:color="auto" w:val="clear"/>
            <w:tcMar>
              <w:top w:type="dxa" w:w="60"/>
              <w:left w:type="dxa" w:w="100"/>
              <w:bottom w:type="dxa" w:w="60"/>
              <w:right w:type="dxa" w:w="100"/>
            </w:tcMar>
          </w:tcPr>
          <w:p>
            <w:pPr>
              <w:spacing w:after="20" w:before="20"/>
            </w:pPr>
            <w:r>
              <w:rPr>
                <w:rFonts w:ascii="Open Sans" w:cs="Open Sans" w:eastAsia="Open Sans" w:hAnsi="Open Sans"/>
                <w:b/>
                <w:bCs/>
                <w:color w:val="FFFFFF"/>
                <w:sz w:val="18"/>
                <w:szCs w:val="18"/>
              </w:rPr>
              <w:t xml:space="preserve">Intended learning outcome</w:t>
            </w:r>
          </w:p>
        </w:tc>
        <w:tc>
          <w:tcPr>
            <w:tcW w:type="dxa" w:w="2200"/>
            <w:shd w:fill="595959" w:color="auto" w:val="clear"/>
            <w:tcMar>
              <w:top w:type="dxa" w:w="60"/>
              <w:left w:type="dxa" w:w="100"/>
              <w:bottom w:type="dxa" w:w="60"/>
              <w:right w:type="dxa" w:w="100"/>
            </w:tcMar>
          </w:tcPr>
          <w:p>
            <w:pPr>
              <w:spacing w:after="20" w:before="20"/>
            </w:pPr>
            <w:r>
              <w:rPr>
                <w:rFonts w:ascii="Open Sans" w:cs="Open Sans" w:eastAsia="Open Sans" w:hAnsi="Open Sans"/>
                <w:b/>
                <w:bCs/>
                <w:color w:val="FFFFFF"/>
                <w:sz w:val="18"/>
                <w:szCs w:val="18"/>
              </w:rPr>
              <w:t xml:space="preserve">Level of learning</w:t>
            </w:r>
          </w:p>
        </w:tc>
      </w:tr>
      <w:tr>
        <w:tc>
          <w:tcPr>
            <w:tcW w:type="dxa" w:w="700"/>
            <w:tcMar>
              <w:top w:type="dxa" w:w="60"/>
              <w:left w:type="dxa" w:w="100"/>
              <w:bottom w:type="dxa" w:w="60"/>
              <w:right w:type="dxa" w:w="100"/>
            </w:tcMar>
          </w:tcPr>
          <w:p>
            <w:pPr>
              <w:spacing w:after="20" w:before="20"/>
            </w:pPr>
            <w:r>
              <w:rPr>
                <w:rFonts w:ascii="Open Sans" w:cs="Open Sans" w:eastAsia="Open Sans" w:hAnsi="Open Sans"/>
                <w:b w:val="false"/>
                <w:bCs w:val="false"/>
                <w:color w:val="000000"/>
                <w:sz w:val="18"/>
                <w:szCs w:val="18"/>
              </w:rPr>
              <w:t xml:space="preserve">LO1</w:t>
            </w:r>
          </w:p>
        </w:tc>
        <w:tc>
          <w:tcPr>
            <w:tcW w:type="dxa" w:w="6100"/>
            <w:tcMar>
              <w:top w:type="dxa" w:w="60"/>
              <w:left w:type="dxa" w:w="100"/>
              <w:bottom w:type="dxa" w:w="60"/>
              <w:right w:type="dxa" w:w="100"/>
            </w:tcMar>
          </w:tcPr>
          <w:p>
            <w:pPr>
              <w:spacing w:after="20" w:before="20"/>
            </w:pPr>
            <w:r>
              <w:rPr>
                <w:rFonts w:ascii="Open Sans" w:cs="Open Sans" w:eastAsia="Open Sans" w:hAnsi="Open Sans"/>
                <w:b w:val="false"/>
                <w:bCs w:val="false"/>
                <w:color w:val="000000"/>
                <w:sz w:val="18"/>
                <w:szCs w:val="18"/>
              </w:rPr>
              <w:t xml:space="preserve">Design and normalise relational schemas for engineering contexts, and justify the normalisation decisions taken.</w:t>
            </w:r>
          </w:p>
        </w:tc>
        <w:tc>
          <w:tcPr>
            <w:tcW w:type="dxa" w:w="2200"/>
            <w:tcMar>
              <w:top w:type="dxa" w:w="60"/>
              <w:left w:type="dxa" w:w="100"/>
              <w:bottom w:type="dxa" w:w="60"/>
              <w:right w:type="dxa" w:w="100"/>
            </w:tcMar>
          </w:tcPr>
          <w:p>
            <w:pPr>
              <w:spacing w:after="20" w:before="20"/>
            </w:pPr>
            <w:r>
              <w:rPr>
                <w:rFonts w:ascii="Open Sans" w:cs="Open Sans" w:eastAsia="Open Sans" w:hAnsi="Open Sans"/>
                <w:b w:val="false"/>
                <w:bCs w:val="false"/>
                <w:color w:val="000000"/>
                <w:sz w:val="18"/>
                <w:szCs w:val="18"/>
              </w:rPr>
              <w:t xml:space="preserve">Design</w:t>
            </w:r>
          </w:p>
        </w:tc>
      </w:tr>
      <w:tr>
        <w:tc>
          <w:tcPr>
            <w:tcW w:type="dxa" w:w="700"/>
            <w:shd w:fill="F2F2F2" w:color="auto" w:val="clear"/>
            <w:tcMar>
              <w:top w:type="dxa" w:w="60"/>
              <w:left w:type="dxa" w:w="100"/>
              <w:bottom w:type="dxa" w:w="60"/>
              <w:right w:type="dxa" w:w="100"/>
            </w:tcMar>
          </w:tcPr>
          <w:p>
            <w:pPr>
              <w:spacing w:after="20" w:before="20"/>
            </w:pPr>
            <w:r>
              <w:rPr>
                <w:rFonts w:ascii="Open Sans" w:cs="Open Sans" w:eastAsia="Open Sans" w:hAnsi="Open Sans"/>
                <w:b w:val="false"/>
                <w:bCs w:val="false"/>
                <w:color w:val="000000"/>
                <w:sz w:val="18"/>
                <w:szCs w:val="18"/>
              </w:rPr>
              <w:t xml:space="preserve">LO2</w:t>
            </w:r>
          </w:p>
        </w:tc>
        <w:tc>
          <w:tcPr>
            <w:tcW w:type="dxa" w:w="6100"/>
            <w:shd w:fill="F2F2F2" w:color="auto" w:val="clear"/>
            <w:tcMar>
              <w:top w:type="dxa" w:w="60"/>
              <w:left w:type="dxa" w:w="100"/>
              <w:bottom w:type="dxa" w:w="60"/>
              <w:right w:type="dxa" w:w="100"/>
            </w:tcMar>
          </w:tcPr>
          <w:p>
            <w:pPr>
              <w:spacing w:after="20" w:before="20"/>
            </w:pPr>
            <w:r>
              <w:rPr>
                <w:rFonts w:ascii="Open Sans" w:cs="Open Sans" w:eastAsia="Open Sans" w:hAnsi="Open Sans"/>
                <w:b w:val="false"/>
                <w:bCs w:val="false"/>
                <w:color w:val="000000"/>
                <w:sz w:val="18"/>
                <w:szCs w:val="18"/>
              </w:rPr>
              <w:t xml:space="preserve">Build data pipelines and extract, transform and load processes for a stated data flow.</w:t>
            </w:r>
          </w:p>
        </w:tc>
        <w:tc>
          <w:tcPr>
            <w:tcW w:type="dxa" w:w="2200"/>
            <w:shd w:fill="F2F2F2" w:color="auto" w:val="clear"/>
            <w:tcMar>
              <w:top w:type="dxa" w:w="60"/>
              <w:left w:type="dxa" w:w="100"/>
              <w:bottom w:type="dxa" w:w="60"/>
              <w:right w:type="dxa" w:w="100"/>
            </w:tcMar>
          </w:tcPr>
          <w:p>
            <w:pPr>
              <w:spacing w:after="20" w:before="20"/>
            </w:pPr>
            <w:r>
              <w:rPr>
                <w:rFonts w:ascii="Open Sans" w:cs="Open Sans" w:eastAsia="Open Sans" w:hAnsi="Open Sans"/>
                <w:b w:val="false"/>
                <w:bCs w:val="false"/>
                <w:color w:val="000000"/>
                <w:sz w:val="18"/>
                <w:szCs w:val="18"/>
              </w:rPr>
              <w:t xml:space="preserve">Apply</w:t>
            </w:r>
          </w:p>
        </w:tc>
      </w:tr>
      <w:tr>
        <w:tc>
          <w:tcPr>
            <w:tcW w:type="dxa" w:w="700"/>
            <w:tcMar>
              <w:top w:type="dxa" w:w="60"/>
              <w:left w:type="dxa" w:w="100"/>
              <w:bottom w:type="dxa" w:w="60"/>
              <w:right w:type="dxa" w:w="100"/>
            </w:tcMar>
          </w:tcPr>
          <w:p>
            <w:pPr>
              <w:spacing w:after="20" w:before="20"/>
            </w:pPr>
            <w:r>
              <w:rPr>
                <w:rFonts w:ascii="Open Sans" w:cs="Open Sans" w:eastAsia="Open Sans" w:hAnsi="Open Sans"/>
                <w:b w:val="false"/>
                <w:bCs w:val="false"/>
                <w:color w:val="000000"/>
                <w:sz w:val="18"/>
                <w:szCs w:val="18"/>
              </w:rPr>
              <w:t xml:space="preserve">LO3</w:t>
            </w:r>
          </w:p>
        </w:tc>
        <w:tc>
          <w:tcPr>
            <w:tcW w:type="dxa" w:w="6100"/>
            <w:tcMar>
              <w:top w:type="dxa" w:w="60"/>
              <w:left w:type="dxa" w:w="100"/>
              <w:bottom w:type="dxa" w:w="60"/>
              <w:right w:type="dxa" w:w="100"/>
            </w:tcMar>
          </w:tcPr>
          <w:p>
            <w:pPr>
              <w:spacing w:after="20" w:before="20"/>
            </w:pPr>
            <w:r>
              <w:rPr>
                <w:rFonts w:ascii="Open Sans" w:cs="Open Sans" w:eastAsia="Open Sans" w:hAnsi="Open Sans"/>
                <w:b w:val="false"/>
                <w:bCs w:val="false"/>
                <w:color w:val="000000"/>
                <w:sz w:val="18"/>
                <w:szCs w:val="18"/>
              </w:rPr>
              <w:t xml:space="preserve">Handle non-relational and warehoused data appropriately to the access pattern the data has to serve.</w:t>
            </w:r>
          </w:p>
        </w:tc>
        <w:tc>
          <w:tcPr>
            <w:tcW w:type="dxa" w:w="2200"/>
            <w:tcMar>
              <w:top w:type="dxa" w:w="60"/>
              <w:left w:type="dxa" w:w="100"/>
              <w:bottom w:type="dxa" w:w="60"/>
              <w:right w:type="dxa" w:w="100"/>
            </w:tcMar>
          </w:tcPr>
          <w:p>
            <w:pPr>
              <w:spacing w:after="20" w:before="20"/>
            </w:pPr>
            <w:r>
              <w:rPr>
                <w:rFonts w:ascii="Open Sans" w:cs="Open Sans" w:eastAsia="Open Sans" w:hAnsi="Open Sans"/>
                <w:b w:val="false"/>
                <w:bCs w:val="false"/>
                <w:color w:val="000000"/>
                <w:sz w:val="18"/>
                <w:szCs w:val="18"/>
              </w:rPr>
              <w:t xml:space="preserve">Apply</w:t>
            </w:r>
          </w:p>
        </w:tc>
      </w:tr>
    </w:tbl>
    <w:p>
      <w:pPr>
        <w:spacing w:after="120" w:before="240"/>
      </w:pPr>
      <w:r>
        <w:rPr>
          <w:rFonts w:ascii="Open Sans" w:cs="Open Sans" w:eastAsia="Open Sans" w:hAnsi="Open Sans"/>
          <w:b/>
          <w:bCs/>
          <w:color w:val="000000"/>
          <w:sz w:val="24"/>
          <w:szCs w:val="24"/>
        </w:rPr>
        <w:t xml:space="preserve">4. Curriculum and Delivery</w:t>
      </w:r>
    </w:p>
    <w:p>
      <w:pPr>
        <w:spacing w:after="80" w:before="80"/>
      </w:pPr>
      <w:r>
        <w:rPr>
          <w:rFonts w:ascii="Open Sans" w:cs="Open Sans" w:eastAsia="Open Sans" w:hAnsi="Open Sans"/>
          <w:b/>
          <w:bCs/>
          <w:i w:val="false"/>
          <w:iCs w:val="false"/>
          <w:color w:val="000000"/>
          <w:sz w:val="20"/>
          <w:szCs w:val="20"/>
        </w:rPr>
        <w:t xml:space="preserve">Indicative syllabus</w:t>
      </w:r>
    </w:p>
    <w:tbl>
      <w:tblPr>
        <w:tblW w:type="dxa" w:w="9000"/>
        <w:tblBorders>
          <w:top w:val="single" w:color="BFBFBF" w:sz="4"/>
          <w:left w:val="single" w:color="BFBFBF" w:sz="4"/>
          <w:bottom w:val="single" w:color="BFBFBF" w:sz="4"/>
          <w:right w:val="single" w:color="BFBFBF" w:sz="4"/>
          <w:insideH w:val="single" w:color="BFBFBF" w:sz="2"/>
          <w:insideV w:val="single" w:color="BFBFBF" w:sz="2"/>
        </w:tblBorders>
      </w:tblPr>
      <w:tblGrid>
        <w:gridCol w:w="700"/>
        <w:gridCol w:w="6800"/>
        <w:gridCol w:w="1500"/>
      </w:tblGrid>
      <w:tr>
        <w:trPr>
          <w:tblHeader/>
        </w:trPr>
        <w:tc>
          <w:tcPr>
            <w:tcW w:type="dxa" w:w="700"/>
            <w:shd w:fill="595959" w:color="auto" w:val="clear"/>
            <w:tcMar>
              <w:top w:type="dxa" w:w="60"/>
              <w:left w:type="dxa" w:w="100"/>
              <w:bottom w:type="dxa" w:w="60"/>
              <w:right w:type="dxa" w:w="100"/>
            </w:tcMar>
          </w:tcPr>
          <w:p>
            <w:pPr>
              <w:spacing w:after="20" w:before="20"/>
            </w:pPr>
            <w:r>
              <w:rPr>
                <w:rFonts w:ascii="Open Sans" w:cs="Open Sans" w:eastAsia="Open Sans" w:hAnsi="Open Sans"/>
                <w:b/>
                <w:bCs/>
                <w:color w:val="FFFFFF"/>
                <w:sz w:val="18"/>
                <w:szCs w:val="18"/>
              </w:rPr>
              <w:t xml:space="preserve">Unit</w:t>
            </w:r>
          </w:p>
        </w:tc>
        <w:tc>
          <w:tcPr>
            <w:tcW w:type="dxa" w:w="6800"/>
            <w:shd w:fill="595959" w:color="auto" w:val="clear"/>
            <w:tcMar>
              <w:top w:type="dxa" w:w="60"/>
              <w:left w:type="dxa" w:w="100"/>
              <w:bottom w:type="dxa" w:w="60"/>
              <w:right w:type="dxa" w:w="100"/>
            </w:tcMar>
          </w:tcPr>
          <w:p>
            <w:pPr>
              <w:spacing w:after="20" w:before="20"/>
            </w:pPr>
            <w:r>
              <w:rPr>
                <w:rFonts w:ascii="Open Sans" w:cs="Open Sans" w:eastAsia="Open Sans" w:hAnsi="Open Sans"/>
                <w:b/>
                <w:bCs/>
                <w:color w:val="FFFFFF"/>
                <w:sz w:val="18"/>
                <w:szCs w:val="18"/>
              </w:rPr>
              <w:t xml:space="preserve">Content</w:t>
            </w:r>
          </w:p>
        </w:tc>
        <w:tc>
          <w:tcPr>
            <w:tcW w:type="dxa" w:w="1500"/>
            <w:shd w:fill="595959" w:color="auto" w:val="clear"/>
            <w:tcMar>
              <w:top w:type="dxa" w:w="60"/>
              <w:left w:type="dxa" w:w="100"/>
              <w:bottom w:type="dxa" w:w="60"/>
              <w:right w:type="dxa" w:w="100"/>
            </w:tcMar>
          </w:tcPr>
          <w:p>
            <w:pPr>
              <w:spacing w:after="20" w:before="20"/>
            </w:pPr>
            <w:r>
              <w:rPr>
                <w:rFonts w:ascii="Open Sans" w:cs="Open Sans" w:eastAsia="Open Sans" w:hAnsi="Open Sans"/>
                <w:b/>
                <w:bCs/>
                <w:color w:val="FFFFFF"/>
                <w:sz w:val="18"/>
                <w:szCs w:val="18"/>
              </w:rPr>
              <w:t xml:space="preserve">Lecture hours</w:t>
            </w:r>
          </w:p>
        </w:tc>
      </w:tr>
      <w:tr>
        <w:tc>
          <w:tcPr>
            <w:tcW w:type="dxa" w:w="700"/>
            <w:tcMar>
              <w:top w:type="dxa" w:w="60"/>
              <w:left w:type="dxa" w:w="100"/>
              <w:bottom w:type="dxa" w:w="60"/>
              <w:right w:type="dxa" w:w="100"/>
            </w:tcMar>
          </w:tcPr>
          <w:p>
            <w:pPr>
              <w:spacing w:after="20" w:before="20"/>
            </w:pPr>
            <w:r>
              <w:rPr>
                <w:rFonts w:ascii="Open Sans" w:cs="Open Sans" w:eastAsia="Open Sans" w:hAnsi="Open Sans"/>
                <w:b w:val="false"/>
                <w:bCs w:val="false"/>
                <w:color w:val="000000"/>
                <w:sz w:val="18"/>
                <w:szCs w:val="18"/>
              </w:rPr>
              <w:t xml:space="preserve">U1</w:t>
            </w:r>
          </w:p>
        </w:tc>
        <w:tc>
          <w:tcPr>
            <w:tcW w:type="dxa" w:w="6800"/>
            <w:tcMar>
              <w:top w:type="dxa" w:w="60"/>
              <w:left w:type="dxa" w:w="100"/>
              <w:bottom w:type="dxa" w:w="60"/>
              <w:right w:type="dxa" w:w="100"/>
            </w:tcMar>
          </w:tcPr>
          <w:p>
            <w:pPr>
              <w:spacing w:after="20" w:before="20"/>
            </w:pPr>
            <w:r>
              <w:rPr>
                <w:rFonts w:ascii="Open Sans" w:cs="Open Sans" w:eastAsia="Open Sans" w:hAnsi="Open Sans"/>
                <w:b w:val="false"/>
                <w:bCs w:val="false"/>
                <w:color w:val="000000"/>
                <w:sz w:val="18"/>
                <w:szCs w:val="18"/>
              </w:rPr>
              <w:t xml:space="preserve">Relational schema design for engineering contexts: from a stated data requirement to a schema, keys, relationships and integrity constraints</w:t>
            </w:r>
          </w:p>
        </w:tc>
        <w:tc>
          <w:tcPr>
            <w:tcW w:type="dxa" w:w="1500"/>
            <w:tcMar>
              <w:top w:type="dxa" w:w="60"/>
              <w:left w:type="dxa" w:w="100"/>
              <w:bottom w:type="dxa" w:w="60"/>
              <w:right w:type="dxa" w:w="100"/>
            </w:tcMar>
          </w:tcPr>
          <w:p>
            <w:pPr>
              <w:spacing w:after="20" w:before="20"/>
            </w:pPr>
            <w:r>
              <w:rPr>
                <w:rFonts w:ascii="Open Sans" w:cs="Open Sans" w:eastAsia="Open Sans" w:hAnsi="Open Sans"/>
                <w:b w:val="false"/>
                <w:bCs w:val="false"/>
                <w:color w:val="000000"/>
                <w:sz w:val="18"/>
                <w:szCs w:val="18"/>
              </w:rPr>
              <w:t xml:space="preserve">9</w:t>
            </w:r>
          </w:p>
        </w:tc>
      </w:tr>
      <w:tr>
        <w:tc>
          <w:tcPr>
            <w:tcW w:type="dxa" w:w="700"/>
            <w:shd w:fill="F2F2F2" w:color="auto" w:val="clear"/>
            <w:tcMar>
              <w:top w:type="dxa" w:w="60"/>
              <w:left w:type="dxa" w:w="100"/>
              <w:bottom w:type="dxa" w:w="60"/>
              <w:right w:type="dxa" w:w="100"/>
            </w:tcMar>
          </w:tcPr>
          <w:p>
            <w:pPr>
              <w:spacing w:after="20" w:before="20"/>
            </w:pPr>
            <w:r>
              <w:rPr>
                <w:rFonts w:ascii="Open Sans" w:cs="Open Sans" w:eastAsia="Open Sans" w:hAnsi="Open Sans"/>
                <w:b w:val="false"/>
                <w:bCs w:val="false"/>
                <w:color w:val="000000"/>
                <w:sz w:val="18"/>
                <w:szCs w:val="18"/>
              </w:rPr>
              <w:t xml:space="preserve">U2</w:t>
            </w:r>
          </w:p>
        </w:tc>
        <w:tc>
          <w:tcPr>
            <w:tcW w:type="dxa" w:w="6800"/>
            <w:shd w:fill="F2F2F2" w:color="auto" w:val="clear"/>
            <w:tcMar>
              <w:top w:type="dxa" w:w="60"/>
              <w:left w:type="dxa" w:w="100"/>
              <w:bottom w:type="dxa" w:w="60"/>
              <w:right w:type="dxa" w:w="100"/>
            </w:tcMar>
          </w:tcPr>
          <w:p>
            <w:pPr>
              <w:spacing w:after="20" w:before="20"/>
            </w:pPr>
            <w:r>
              <w:rPr>
                <w:rFonts w:ascii="Open Sans" w:cs="Open Sans" w:eastAsia="Open Sans" w:hAnsi="Open Sans"/>
                <w:b w:val="false"/>
                <w:bCs w:val="false"/>
                <w:color w:val="000000"/>
                <w:sz w:val="18"/>
                <w:szCs w:val="18"/>
              </w:rPr>
              <w:t xml:space="preserve">Normalisation and its limits: the normal forms worked through on real requirements, and the deliberate denormalisation decision made with its cost stated</w:t>
            </w:r>
          </w:p>
        </w:tc>
        <w:tc>
          <w:tcPr>
            <w:tcW w:type="dxa" w:w="1500"/>
            <w:shd w:fill="F2F2F2" w:color="auto" w:val="clear"/>
            <w:tcMar>
              <w:top w:type="dxa" w:w="60"/>
              <w:left w:type="dxa" w:w="100"/>
              <w:bottom w:type="dxa" w:w="60"/>
              <w:right w:type="dxa" w:w="100"/>
            </w:tcMar>
          </w:tcPr>
          <w:p>
            <w:pPr>
              <w:spacing w:after="20" w:before="20"/>
            </w:pPr>
            <w:r>
              <w:rPr>
                <w:rFonts w:ascii="Open Sans" w:cs="Open Sans" w:eastAsia="Open Sans" w:hAnsi="Open Sans"/>
                <w:b w:val="false"/>
                <w:bCs w:val="false"/>
                <w:color w:val="000000"/>
                <w:sz w:val="18"/>
                <w:szCs w:val="18"/>
              </w:rPr>
              <w:t xml:space="preserve">9</w:t>
            </w:r>
          </w:p>
        </w:tc>
      </w:tr>
      <w:tr>
        <w:tc>
          <w:tcPr>
            <w:tcW w:type="dxa" w:w="700"/>
            <w:tcMar>
              <w:top w:type="dxa" w:w="60"/>
              <w:left w:type="dxa" w:w="100"/>
              <w:bottom w:type="dxa" w:w="60"/>
              <w:right w:type="dxa" w:w="100"/>
            </w:tcMar>
          </w:tcPr>
          <w:p>
            <w:pPr>
              <w:spacing w:after="20" w:before="20"/>
            </w:pPr>
            <w:r>
              <w:rPr>
                <w:rFonts w:ascii="Open Sans" w:cs="Open Sans" w:eastAsia="Open Sans" w:hAnsi="Open Sans"/>
                <w:b w:val="false"/>
                <w:bCs w:val="false"/>
                <w:color w:val="000000"/>
                <w:sz w:val="18"/>
                <w:szCs w:val="18"/>
              </w:rPr>
              <w:t xml:space="preserve">U3</w:t>
            </w:r>
          </w:p>
        </w:tc>
        <w:tc>
          <w:tcPr>
            <w:tcW w:type="dxa" w:w="6800"/>
            <w:tcMar>
              <w:top w:type="dxa" w:w="60"/>
              <w:left w:type="dxa" w:w="100"/>
              <w:bottom w:type="dxa" w:w="60"/>
              <w:right w:type="dxa" w:w="100"/>
            </w:tcMar>
          </w:tcPr>
          <w:p>
            <w:pPr>
              <w:spacing w:after="20" w:before="20"/>
            </w:pPr>
            <w:r>
              <w:rPr>
                <w:rFonts w:ascii="Open Sans" w:cs="Open Sans" w:eastAsia="Open Sans" w:hAnsi="Open Sans"/>
                <w:b w:val="false"/>
                <w:bCs w:val="false"/>
                <w:color w:val="000000"/>
                <w:sz w:val="18"/>
                <w:szCs w:val="18"/>
              </w:rPr>
              <w:t xml:space="preserve">Querying at engineering scale: multi-table joins, views as an interface to complexity, and indexing awareness read through observed query behaviour</w:t>
            </w:r>
          </w:p>
        </w:tc>
        <w:tc>
          <w:tcPr>
            <w:tcW w:type="dxa" w:w="1500"/>
            <w:tcMar>
              <w:top w:type="dxa" w:w="60"/>
              <w:left w:type="dxa" w:w="100"/>
              <w:bottom w:type="dxa" w:w="60"/>
              <w:right w:type="dxa" w:w="100"/>
            </w:tcMar>
          </w:tcPr>
          <w:p>
            <w:pPr>
              <w:spacing w:after="20" w:before="20"/>
            </w:pPr>
            <w:r>
              <w:rPr>
                <w:rFonts w:ascii="Open Sans" w:cs="Open Sans" w:eastAsia="Open Sans" w:hAnsi="Open Sans"/>
                <w:b w:val="false"/>
                <w:bCs w:val="false"/>
                <w:color w:val="000000"/>
                <w:sz w:val="18"/>
                <w:szCs w:val="18"/>
              </w:rPr>
              <w:t xml:space="preserve">9</w:t>
            </w:r>
          </w:p>
        </w:tc>
      </w:tr>
      <w:tr>
        <w:tc>
          <w:tcPr>
            <w:tcW w:type="dxa" w:w="700"/>
            <w:shd w:fill="F2F2F2" w:color="auto" w:val="clear"/>
            <w:tcMar>
              <w:top w:type="dxa" w:w="60"/>
              <w:left w:type="dxa" w:w="100"/>
              <w:bottom w:type="dxa" w:w="60"/>
              <w:right w:type="dxa" w:w="100"/>
            </w:tcMar>
          </w:tcPr>
          <w:p>
            <w:pPr>
              <w:spacing w:after="20" w:before="20"/>
            </w:pPr>
            <w:r>
              <w:rPr>
                <w:rFonts w:ascii="Open Sans" w:cs="Open Sans" w:eastAsia="Open Sans" w:hAnsi="Open Sans"/>
                <w:b w:val="false"/>
                <w:bCs w:val="false"/>
                <w:color w:val="000000"/>
                <w:sz w:val="18"/>
                <w:szCs w:val="18"/>
              </w:rPr>
              <w:t xml:space="preserve">U4</w:t>
            </w:r>
          </w:p>
        </w:tc>
        <w:tc>
          <w:tcPr>
            <w:tcW w:type="dxa" w:w="6800"/>
            <w:shd w:fill="F2F2F2" w:color="auto" w:val="clear"/>
            <w:tcMar>
              <w:top w:type="dxa" w:w="60"/>
              <w:left w:type="dxa" w:w="100"/>
              <w:bottom w:type="dxa" w:w="60"/>
              <w:right w:type="dxa" w:w="100"/>
            </w:tcMar>
          </w:tcPr>
          <w:p>
            <w:pPr>
              <w:spacing w:after="20" w:before="20"/>
            </w:pPr>
            <w:r>
              <w:rPr>
                <w:rFonts w:ascii="Open Sans" w:cs="Open Sans" w:eastAsia="Open Sans" w:hAnsi="Open Sans"/>
                <w:b w:val="false"/>
                <w:bCs w:val="false"/>
                <w:color w:val="000000"/>
                <w:sz w:val="18"/>
                <w:szCs w:val="18"/>
              </w:rPr>
              <w:t xml:space="preserve">Pipelines and extract, transform and load processes: ingestion, transformation, loading, orchestration, idempotency, and what happens when a run fails halfway</w:t>
            </w:r>
          </w:p>
        </w:tc>
        <w:tc>
          <w:tcPr>
            <w:tcW w:type="dxa" w:w="1500"/>
            <w:shd w:fill="F2F2F2" w:color="auto" w:val="clear"/>
            <w:tcMar>
              <w:top w:type="dxa" w:w="60"/>
              <w:left w:type="dxa" w:w="100"/>
              <w:bottom w:type="dxa" w:w="60"/>
              <w:right w:type="dxa" w:w="100"/>
            </w:tcMar>
          </w:tcPr>
          <w:p>
            <w:pPr>
              <w:spacing w:after="20" w:before="20"/>
            </w:pPr>
            <w:r>
              <w:rPr>
                <w:rFonts w:ascii="Open Sans" w:cs="Open Sans" w:eastAsia="Open Sans" w:hAnsi="Open Sans"/>
                <w:b w:val="false"/>
                <w:bCs w:val="false"/>
                <w:color w:val="000000"/>
                <w:sz w:val="18"/>
                <w:szCs w:val="18"/>
              </w:rPr>
              <w:t xml:space="preserve">12</w:t>
            </w:r>
          </w:p>
        </w:tc>
      </w:tr>
      <w:tr>
        <w:tc>
          <w:tcPr>
            <w:tcW w:type="dxa" w:w="700"/>
            <w:tcMar>
              <w:top w:type="dxa" w:w="60"/>
              <w:left w:type="dxa" w:w="100"/>
              <w:bottom w:type="dxa" w:w="60"/>
              <w:right w:type="dxa" w:w="100"/>
            </w:tcMar>
          </w:tcPr>
          <w:p>
            <w:pPr>
              <w:spacing w:after="20" w:before="20"/>
            </w:pPr>
            <w:r>
              <w:rPr>
                <w:rFonts w:ascii="Open Sans" w:cs="Open Sans" w:eastAsia="Open Sans" w:hAnsi="Open Sans"/>
                <w:b w:val="false"/>
                <w:bCs w:val="false"/>
                <w:color w:val="000000"/>
                <w:sz w:val="18"/>
                <w:szCs w:val="18"/>
              </w:rPr>
              <w:t xml:space="preserve">U5</w:t>
            </w:r>
          </w:p>
        </w:tc>
        <w:tc>
          <w:tcPr>
            <w:tcW w:type="dxa" w:w="6800"/>
            <w:tcMar>
              <w:top w:type="dxa" w:w="60"/>
              <w:left w:type="dxa" w:w="100"/>
              <w:bottom w:type="dxa" w:w="60"/>
              <w:right w:type="dxa" w:w="100"/>
            </w:tcMar>
          </w:tcPr>
          <w:p>
            <w:pPr>
              <w:spacing w:after="20" w:before="20"/>
            </w:pPr>
            <w:r>
              <w:rPr>
                <w:rFonts w:ascii="Open Sans" w:cs="Open Sans" w:eastAsia="Open Sans" w:hAnsi="Open Sans"/>
                <w:b w:val="false"/>
                <w:bCs w:val="false"/>
                <w:color w:val="000000"/>
                <w:sz w:val="18"/>
                <w:szCs w:val="18"/>
              </w:rPr>
              <w:t xml:space="preserve">Warehousing concepts: the analytical access pattern, dimensional modelling, fact and dimension tables</w:t>
            </w:r>
          </w:p>
        </w:tc>
        <w:tc>
          <w:tcPr>
            <w:tcW w:type="dxa" w:w="1500"/>
            <w:tcMar>
              <w:top w:type="dxa" w:w="60"/>
              <w:left w:type="dxa" w:w="100"/>
              <w:bottom w:type="dxa" w:w="60"/>
              <w:right w:type="dxa" w:w="100"/>
            </w:tcMar>
          </w:tcPr>
          <w:p>
            <w:pPr>
              <w:spacing w:after="20" w:before="20"/>
            </w:pPr>
            <w:r>
              <w:rPr>
                <w:rFonts w:ascii="Open Sans" w:cs="Open Sans" w:eastAsia="Open Sans" w:hAnsi="Open Sans"/>
                <w:b w:val="false"/>
                <w:bCs w:val="false"/>
                <w:color w:val="000000"/>
                <w:sz w:val="18"/>
                <w:szCs w:val="18"/>
              </w:rPr>
              <w:t xml:space="preserve">6</w:t>
            </w:r>
          </w:p>
        </w:tc>
      </w:tr>
      <w:tr>
        <w:tc>
          <w:tcPr>
            <w:tcW w:type="dxa" w:w="700"/>
            <w:shd w:fill="F2F2F2" w:color="auto" w:val="clear"/>
            <w:tcMar>
              <w:top w:type="dxa" w:w="60"/>
              <w:left w:type="dxa" w:w="100"/>
              <w:bottom w:type="dxa" w:w="60"/>
              <w:right w:type="dxa" w:w="100"/>
            </w:tcMar>
          </w:tcPr>
          <w:p>
            <w:pPr>
              <w:spacing w:after="20" w:before="20"/>
            </w:pPr>
            <w:r>
              <w:rPr>
                <w:rFonts w:ascii="Open Sans" w:cs="Open Sans" w:eastAsia="Open Sans" w:hAnsi="Open Sans"/>
                <w:b w:val="false"/>
                <w:bCs w:val="false"/>
                <w:color w:val="000000"/>
                <w:sz w:val="18"/>
                <w:szCs w:val="18"/>
              </w:rPr>
              <w:t xml:space="preserve">U6</w:t>
            </w:r>
          </w:p>
        </w:tc>
        <w:tc>
          <w:tcPr>
            <w:tcW w:type="dxa" w:w="6800"/>
            <w:shd w:fill="F2F2F2" w:color="auto" w:val="clear"/>
            <w:tcMar>
              <w:top w:type="dxa" w:w="60"/>
              <w:left w:type="dxa" w:w="100"/>
              <w:bottom w:type="dxa" w:w="60"/>
              <w:right w:type="dxa" w:w="100"/>
            </w:tcMar>
          </w:tcPr>
          <w:p>
            <w:pPr>
              <w:spacing w:after="20" w:before="20"/>
            </w:pPr>
            <w:r>
              <w:rPr>
                <w:rFonts w:ascii="Open Sans" w:cs="Open Sans" w:eastAsia="Open Sans" w:hAnsi="Open Sans"/>
                <w:b w:val="false"/>
                <w:bCs w:val="false"/>
                <w:color w:val="000000"/>
                <w:sz w:val="18"/>
                <w:szCs w:val="18"/>
              </w:rPr>
              <w:t xml:space="preserve">Non-relational data handling: document and key-value stores, and the selection of a store against the access pattern it must serve</w:t>
            </w:r>
          </w:p>
        </w:tc>
        <w:tc>
          <w:tcPr>
            <w:tcW w:type="dxa" w:w="1500"/>
            <w:shd w:fill="F2F2F2" w:color="auto" w:val="clear"/>
            <w:tcMar>
              <w:top w:type="dxa" w:w="60"/>
              <w:left w:type="dxa" w:w="100"/>
              <w:bottom w:type="dxa" w:w="60"/>
              <w:right w:type="dxa" w:w="100"/>
            </w:tcMar>
          </w:tcPr>
          <w:p>
            <w:pPr>
              <w:spacing w:after="20" w:before="20"/>
            </w:pPr>
            <w:r>
              <w:rPr>
                <w:rFonts w:ascii="Open Sans" w:cs="Open Sans" w:eastAsia="Open Sans" w:hAnsi="Open Sans"/>
                <w:b w:val="false"/>
                <w:bCs w:val="false"/>
                <w:color w:val="000000"/>
                <w:sz w:val="18"/>
                <w:szCs w:val="18"/>
              </w:rPr>
              <w:t xml:space="preserve">3</w:t>
            </w:r>
          </w:p>
        </w:tc>
      </w:tr>
      <w:tr>
        <w:tc>
          <w:tcPr>
            <w:tcW w:type="dxa" w:w="700"/>
            <w:shd w:fill="D9D9D9" w:color="auto" w:val="clear"/>
            <w:tcMar>
              <w:top w:type="dxa" w:w="60"/>
              <w:left w:type="dxa" w:w="100"/>
              <w:bottom w:type="dxa" w:w="60"/>
              <w:right w:type="dxa" w:w="100"/>
            </w:tcMar>
          </w:tcPr>
          <w:p>
            <w:pPr>
              <w:spacing w:after="20" w:before="20"/>
            </w:pPr>
            <w:r>
              <w:rPr>
                <w:rFonts w:ascii="Open Sans" w:cs="Open Sans" w:eastAsia="Open Sans" w:hAnsi="Open Sans"/>
                <w:b/>
                <w:bCs/>
                <w:color w:val="000000"/>
                <w:sz w:val="18"/>
                <w:szCs w:val="18"/>
              </w:rPr>
              <w:t xml:space="preserve"/>
            </w:r>
          </w:p>
        </w:tc>
        <w:tc>
          <w:tcPr>
            <w:tcW w:type="dxa" w:w="6800"/>
            <w:shd w:fill="D9D9D9" w:color="auto" w:val="clear"/>
            <w:tcMar>
              <w:top w:type="dxa" w:w="60"/>
              <w:left w:type="dxa" w:w="100"/>
              <w:bottom w:type="dxa" w:w="60"/>
              <w:right w:type="dxa" w:w="100"/>
            </w:tcMar>
          </w:tcPr>
          <w:p>
            <w:pPr>
              <w:spacing w:after="20" w:before="20"/>
            </w:pPr>
            <w:r>
              <w:rPr>
                <w:rFonts w:ascii="Open Sans" w:cs="Open Sans" w:eastAsia="Open Sans" w:hAnsi="Open Sans"/>
                <w:b/>
                <w:bCs/>
                <w:color w:val="000000"/>
                <w:sz w:val="18"/>
                <w:szCs w:val="18"/>
              </w:rPr>
              <w:t xml:space="preserve">Total lecture hours</w:t>
            </w:r>
          </w:p>
        </w:tc>
        <w:tc>
          <w:tcPr>
            <w:tcW w:type="dxa" w:w="1500"/>
            <w:shd w:fill="D9D9D9" w:color="auto" w:val="clear"/>
            <w:tcMar>
              <w:top w:type="dxa" w:w="60"/>
              <w:left w:type="dxa" w:w="100"/>
              <w:bottom w:type="dxa" w:w="60"/>
              <w:right w:type="dxa" w:w="100"/>
            </w:tcMar>
          </w:tcPr>
          <w:p>
            <w:pPr>
              <w:spacing w:after="20" w:before="20"/>
            </w:pPr>
            <w:r>
              <w:rPr>
                <w:rFonts w:ascii="Open Sans" w:cs="Open Sans" w:eastAsia="Open Sans" w:hAnsi="Open Sans"/>
                <w:b/>
                <w:bCs/>
                <w:color w:val="000000"/>
                <w:sz w:val="18"/>
                <w:szCs w:val="18"/>
              </w:rPr>
              <w:t xml:space="preserve">48</w:t>
            </w:r>
          </w:p>
        </w:tc>
      </w:tr>
    </w:tbl>
    <w:p>
      <w:pPr>
        <w:spacing w:after="80" w:before="80"/>
      </w:pPr>
      <w:r>
        <w:rPr>
          <w:rFonts w:ascii="Open Sans" w:cs="Open Sans" w:eastAsia="Open Sans" w:hAnsi="Open Sans"/>
          <w:b w:val="false"/>
          <w:bCs w:val="false"/>
          <w:i w:val="false"/>
          <w:iCs w:val="false"/>
          <w:color w:val="000000"/>
          <w:sz w:val="20"/>
          <w:szCs w:val="20"/>
        </w:rPr>
        <w:t xml:space="preserve">Session note: the 48 lecture hours are delivered as 16 sessions of 3 hours, with unit allocations in multiples of 3 so that unit boundaries fall on session boundaries. Unit 4 carries the largest allocation because failure handling is what separates a script from a pipeline, and it is the part most often omitted from taught treatments.</w:t>
      </w:r>
    </w:p>
    <w:p>
      <w:pPr>
        <w:spacing w:after="80" w:before="80"/>
      </w:pPr>
      <w:r>
        <w:rPr>
          <w:rFonts w:ascii="Open Sans" w:cs="Open Sans" w:eastAsia="Open Sans" w:hAnsi="Open Sans"/>
          <w:b w:val="false"/>
          <w:bCs w:val="false"/>
          <w:i w:val="false"/>
          <w:iCs w:val="false"/>
          <w:color w:val="000000"/>
          <w:sz w:val="20"/>
          <w:szCs w:val="20"/>
        </w:rPr>
        <w:t xml:space="preserve">Allocation cost, named: unit 6 receives a single session. Non-relational handling is treated as a selection decision rather than as a technology tour: students learn to choose a store against an access pattern and to work with one, not to survey the field. If the data-engineer graduate profile later demands broader non-relational coverage, that is a question of credit weighting rather than something this unit can absorb.</w:t>
      </w:r>
    </w:p>
    <w:p>
      <w:pPr>
        <w:spacing w:after="80" w:before="80"/>
      </w:pPr>
      <w:r>
        <w:rPr>
          <w:rFonts w:ascii="Open Sans" w:cs="Open Sans" w:eastAsia="Open Sans" w:hAnsi="Open Sans"/>
          <w:b w:val="false"/>
          <w:bCs w:val="false"/>
          <w:i w:val="false"/>
          <w:iCs w:val="false"/>
          <w:color w:val="000000"/>
          <w:sz w:val="20"/>
          <w:szCs w:val="20"/>
        </w:rPr>
        <w:t xml:space="preserve">Working-language note: SQL for the schema and query work, Python for pipeline construction. The orchestration tool is selected at specification stage; the module teaches the orchestration concepts and the tool is the vehicle.</w:t>
      </w:r>
    </w:p>
    <w:p>
      <w:pPr>
        <w:spacing w:after="80" w:before="160"/>
      </w:pPr>
      <w:r>
        <w:rPr>
          <w:rFonts w:ascii="Open Sans" w:cs="Open Sans" w:eastAsia="Open Sans" w:hAnsi="Open Sans"/>
          <w:b/>
          <w:bCs/>
          <w:i w:val="false"/>
          <w:iCs w:val="false"/>
          <w:color w:val="000000"/>
          <w:sz w:val="20"/>
          <w:szCs w:val="20"/>
        </w:rPr>
        <w:t xml:space="preserve">Teaching and learning hours</w:t>
      </w:r>
    </w:p>
    <w:tbl>
      <w:tblPr>
        <w:tblW w:type="dxa" w:w="9000"/>
        <w:tblBorders>
          <w:top w:val="single" w:color="BFBFBF" w:sz="4"/>
          <w:left w:val="single" w:color="BFBFBF" w:sz="4"/>
          <w:bottom w:val="single" w:color="BFBFBF" w:sz="4"/>
          <w:right w:val="single" w:color="BFBFBF" w:sz="4"/>
          <w:insideH w:val="single" w:color="BFBFBF" w:sz="2"/>
          <w:insideV w:val="single" w:color="BFBFBF" w:sz="2"/>
        </w:tblBorders>
      </w:tblPr>
      <w:tblGrid>
        <w:gridCol w:w="6600"/>
        <w:gridCol w:w="2400"/>
      </w:tblGrid>
      <w:tr>
        <w:trPr>
          <w:tblHeader/>
        </w:trPr>
        <w:tc>
          <w:tcPr>
            <w:tcW w:type="dxa" w:w="6600"/>
            <w:shd w:fill="595959" w:color="auto" w:val="clear"/>
            <w:tcMar>
              <w:top w:type="dxa" w:w="60"/>
              <w:left w:type="dxa" w:w="100"/>
              <w:bottom w:type="dxa" w:w="60"/>
              <w:right w:type="dxa" w:w="100"/>
            </w:tcMar>
          </w:tcPr>
          <w:p>
            <w:pPr>
              <w:spacing w:after="20" w:before="20"/>
            </w:pPr>
            <w:r>
              <w:rPr>
                <w:rFonts w:ascii="Open Sans" w:cs="Open Sans" w:eastAsia="Open Sans" w:hAnsi="Open Sans"/>
                <w:b/>
                <w:bCs/>
                <w:color w:val="FFFFFF"/>
                <w:sz w:val="18"/>
                <w:szCs w:val="18"/>
              </w:rPr>
              <w:t xml:space="preserve">Component</w:t>
            </w:r>
          </w:p>
        </w:tc>
        <w:tc>
          <w:tcPr>
            <w:tcW w:type="dxa" w:w="2400"/>
            <w:shd w:fill="595959" w:color="auto" w:val="clear"/>
            <w:tcMar>
              <w:top w:type="dxa" w:w="60"/>
              <w:left w:type="dxa" w:w="100"/>
              <w:bottom w:type="dxa" w:w="60"/>
              <w:right w:type="dxa" w:w="100"/>
            </w:tcMar>
          </w:tcPr>
          <w:p>
            <w:pPr>
              <w:spacing w:after="20" w:before="20"/>
            </w:pPr>
            <w:r>
              <w:rPr>
                <w:rFonts w:ascii="Open Sans" w:cs="Open Sans" w:eastAsia="Open Sans" w:hAnsi="Open Sans"/>
                <w:b/>
                <w:bCs/>
                <w:color w:val="FFFFFF"/>
                <w:sz w:val="18"/>
                <w:szCs w:val="18"/>
              </w:rPr>
              <w:t xml:space="preserve">Hours</w:t>
            </w:r>
          </w:p>
        </w:tc>
      </w:tr>
      <w:tr>
        <w:tc>
          <w:tcPr>
            <w:tcW w:type="dxa" w:w="6600"/>
            <w:tcMar>
              <w:top w:type="dxa" w:w="60"/>
              <w:left w:type="dxa" w:w="100"/>
              <w:bottom w:type="dxa" w:w="60"/>
              <w:right w:type="dxa" w:w="100"/>
            </w:tcMar>
          </w:tcPr>
          <w:p>
            <w:pPr>
              <w:spacing w:after="20" w:before="20"/>
            </w:pPr>
            <w:r>
              <w:rPr>
                <w:rFonts w:ascii="Open Sans" w:cs="Open Sans" w:eastAsia="Open Sans" w:hAnsi="Open Sans"/>
                <w:b w:val="false"/>
                <w:bCs w:val="false"/>
                <w:color w:val="000000"/>
                <w:sz w:val="18"/>
                <w:szCs w:val="18"/>
              </w:rPr>
              <w:t xml:space="preserve">Lectures</w:t>
            </w:r>
          </w:p>
        </w:tc>
        <w:tc>
          <w:tcPr>
            <w:tcW w:type="dxa" w:w="2400"/>
            <w:tcMar>
              <w:top w:type="dxa" w:w="60"/>
              <w:left w:type="dxa" w:w="100"/>
              <w:bottom w:type="dxa" w:w="60"/>
              <w:right w:type="dxa" w:w="100"/>
            </w:tcMar>
          </w:tcPr>
          <w:p>
            <w:pPr>
              <w:spacing w:after="20" w:before="20"/>
            </w:pPr>
            <w:r>
              <w:rPr>
                <w:rFonts w:ascii="Open Sans" w:cs="Open Sans" w:eastAsia="Open Sans" w:hAnsi="Open Sans"/>
                <w:b w:val="false"/>
                <w:bCs w:val="false"/>
                <w:color w:val="000000"/>
                <w:sz w:val="18"/>
                <w:szCs w:val="18"/>
              </w:rPr>
              <w:t xml:space="preserve">48</w:t>
            </w:r>
          </w:p>
        </w:tc>
      </w:tr>
      <w:tr>
        <w:tc>
          <w:tcPr>
            <w:tcW w:type="dxa" w:w="6600"/>
            <w:shd w:fill="F2F2F2" w:color="auto" w:val="clear"/>
            <w:tcMar>
              <w:top w:type="dxa" w:w="60"/>
              <w:left w:type="dxa" w:w="100"/>
              <w:bottom w:type="dxa" w:w="60"/>
              <w:right w:type="dxa" w:w="100"/>
            </w:tcMar>
          </w:tcPr>
          <w:p>
            <w:pPr>
              <w:spacing w:after="20" w:before="20"/>
            </w:pPr>
            <w:r>
              <w:rPr>
                <w:rFonts w:ascii="Open Sans" w:cs="Open Sans" w:eastAsia="Open Sans" w:hAnsi="Open Sans"/>
                <w:b w:val="false"/>
                <w:bCs w:val="false"/>
                <w:color w:val="000000"/>
                <w:sz w:val="18"/>
                <w:szCs w:val="18"/>
              </w:rPr>
              <w:t xml:space="preserve">Tutorials</w:t>
            </w:r>
          </w:p>
        </w:tc>
        <w:tc>
          <w:tcPr>
            <w:tcW w:type="dxa" w:w="2400"/>
            <w:shd w:fill="F2F2F2" w:color="auto" w:val="clear"/>
            <w:tcMar>
              <w:top w:type="dxa" w:w="60"/>
              <w:left w:type="dxa" w:w="100"/>
              <w:bottom w:type="dxa" w:w="60"/>
              <w:right w:type="dxa" w:w="100"/>
            </w:tcMar>
          </w:tcPr>
          <w:p>
            <w:pPr>
              <w:spacing w:after="20" w:before="20"/>
            </w:pPr>
            <w:r>
              <w:rPr>
                <w:rFonts w:ascii="Open Sans" w:cs="Open Sans" w:eastAsia="Open Sans" w:hAnsi="Open Sans"/>
                <w:b w:val="false"/>
                <w:bCs w:val="false"/>
                <w:color w:val="000000"/>
                <w:sz w:val="18"/>
                <w:szCs w:val="18"/>
              </w:rPr>
              <w:t xml:space="preserve">12</w:t>
            </w:r>
          </w:p>
        </w:tc>
      </w:tr>
      <w:tr>
        <w:tc>
          <w:tcPr>
            <w:tcW w:type="dxa" w:w="6600"/>
            <w:tcMar>
              <w:top w:type="dxa" w:w="60"/>
              <w:left w:type="dxa" w:w="100"/>
              <w:bottom w:type="dxa" w:w="60"/>
              <w:right w:type="dxa" w:w="100"/>
            </w:tcMar>
          </w:tcPr>
          <w:p>
            <w:pPr>
              <w:spacing w:after="20" w:before="20"/>
            </w:pPr>
            <w:r>
              <w:rPr>
                <w:rFonts w:ascii="Open Sans" w:cs="Open Sans" w:eastAsia="Open Sans" w:hAnsi="Open Sans"/>
                <w:b w:val="false"/>
                <w:bCs w:val="false"/>
                <w:color w:val="000000"/>
                <w:sz w:val="18"/>
                <w:szCs w:val="18"/>
              </w:rPr>
              <w:t xml:space="preserve">Practicals and laboratory</w:t>
            </w:r>
          </w:p>
        </w:tc>
        <w:tc>
          <w:tcPr>
            <w:tcW w:type="dxa" w:w="2400"/>
            <w:tcMar>
              <w:top w:type="dxa" w:w="60"/>
              <w:left w:type="dxa" w:w="100"/>
              <w:bottom w:type="dxa" w:w="60"/>
              <w:right w:type="dxa" w:w="100"/>
            </w:tcMar>
          </w:tcPr>
          <w:p>
            <w:pPr>
              <w:spacing w:after="20" w:before="20"/>
            </w:pPr>
            <w:r>
              <w:rPr>
                <w:rFonts w:ascii="Open Sans" w:cs="Open Sans" w:eastAsia="Open Sans" w:hAnsi="Open Sans"/>
                <w:b w:val="false"/>
                <w:bCs w:val="false"/>
                <w:color w:val="000000"/>
                <w:sz w:val="18"/>
                <w:szCs w:val="18"/>
              </w:rPr>
              <w:t xml:space="preserve">24</w:t>
            </w:r>
          </w:p>
        </w:tc>
      </w:tr>
      <w:tr>
        <w:tc>
          <w:tcPr>
            <w:tcW w:type="dxa" w:w="6600"/>
            <w:shd w:fill="F2F2F2" w:color="auto" w:val="clear"/>
            <w:tcMar>
              <w:top w:type="dxa" w:w="60"/>
              <w:left w:type="dxa" w:w="100"/>
              <w:bottom w:type="dxa" w:w="60"/>
              <w:right w:type="dxa" w:w="100"/>
            </w:tcMar>
          </w:tcPr>
          <w:p>
            <w:pPr>
              <w:spacing w:after="20" w:before="20"/>
            </w:pPr>
            <w:r>
              <w:rPr>
                <w:rFonts w:ascii="Open Sans" w:cs="Open Sans" w:eastAsia="Open Sans" w:hAnsi="Open Sans"/>
                <w:b w:val="false"/>
                <w:bCs w:val="false"/>
                <w:color w:val="000000"/>
                <w:sz w:val="18"/>
                <w:szCs w:val="18"/>
              </w:rPr>
              <w:t xml:space="preserve">In-class assignments</w:t>
            </w:r>
          </w:p>
        </w:tc>
        <w:tc>
          <w:tcPr>
            <w:tcW w:type="dxa" w:w="2400"/>
            <w:shd w:fill="F2F2F2" w:color="auto" w:val="clear"/>
            <w:tcMar>
              <w:top w:type="dxa" w:w="60"/>
              <w:left w:type="dxa" w:w="100"/>
              <w:bottom w:type="dxa" w:w="60"/>
              <w:right w:type="dxa" w:w="100"/>
            </w:tcMar>
          </w:tcPr>
          <w:p>
            <w:pPr>
              <w:spacing w:after="20" w:before="20"/>
            </w:pPr>
            <w:r>
              <w:rPr>
                <w:rFonts w:ascii="Open Sans" w:cs="Open Sans" w:eastAsia="Open Sans" w:hAnsi="Open Sans"/>
                <w:b w:val="false"/>
                <w:bCs w:val="false"/>
                <w:color w:val="000000"/>
                <w:sz w:val="18"/>
                <w:szCs w:val="18"/>
              </w:rPr>
              <w:t xml:space="preserve">9</w:t>
            </w:r>
          </w:p>
        </w:tc>
      </w:tr>
      <w:tr>
        <w:tc>
          <w:tcPr>
            <w:tcW w:type="dxa" w:w="6600"/>
            <w:tcMar>
              <w:top w:type="dxa" w:w="60"/>
              <w:left w:type="dxa" w:w="100"/>
              <w:bottom w:type="dxa" w:w="60"/>
              <w:right w:type="dxa" w:w="100"/>
            </w:tcMar>
          </w:tcPr>
          <w:p>
            <w:pPr>
              <w:spacing w:after="20" w:before="20"/>
            </w:pPr>
            <w:r>
              <w:rPr>
                <w:rFonts w:ascii="Open Sans" w:cs="Open Sans" w:eastAsia="Open Sans" w:hAnsi="Open Sans"/>
                <w:b w:val="false"/>
                <w:bCs w:val="false"/>
                <w:color w:val="000000"/>
                <w:sz w:val="18"/>
                <w:szCs w:val="18"/>
              </w:rPr>
              <w:t xml:space="preserve">Demonstration</w:t>
            </w:r>
          </w:p>
        </w:tc>
        <w:tc>
          <w:tcPr>
            <w:tcW w:type="dxa" w:w="2400"/>
            <w:tcMar>
              <w:top w:type="dxa" w:w="60"/>
              <w:left w:type="dxa" w:w="100"/>
              <w:bottom w:type="dxa" w:w="60"/>
              <w:right w:type="dxa" w:w="100"/>
            </w:tcMar>
          </w:tcPr>
          <w:p>
            <w:pPr>
              <w:spacing w:after="20" w:before="20"/>
            </w:pPr>
            <w:r>
              <w:rPr>
                <w:rFonts w:ascii="Open Sans" w:cs="Open Sans" w:eastAsia="Open Sans" w:hAnsi="Open Sans"/>
                <w:b w:val="false"/>
                <w:bCs w:val="false"/>
                <w:color w:val="000000"/>
                <w:sz w:val="18"/>
                <w:szCs w:val="18"/>
              </w:rPr>
              <w:t xml:space="preserve">3</w:t>
            </w:r>
          </w:p>
        </w:tc>
      </w:tr>
      <w:tr>
        <w:tc>
          <w:tcPr>
            <w:tcW w:type="dxa" w:w="6600"/>
            <w:shd w:fill="F2F2F2" w:color="auto" w:val="clear"/>
            <w:tcMar>
              <w:top w:type="dxa" w:w="60"/>
              <w:left w:type="dxa" w:w="100"/>
              <w:bottom w:type="dxa" w:w="60"/>
              <w:right w:type="dxa" w:w="100"/>
            </w:tcMar>
          </w:tcPr>
          <w:p>
            <w:pPr>
              <w:spacing w:after="20" w:before="20"/>
            </w:pPr>
            <w:r>
              <w:rPr>
                <w:rFonts w:ascii="Open Sans" w:cs="Open Sans" w:eastAsia="Open Sans" w:hAnsi="Open Sans"/>
                <w:b w:val="false"/>
                <w:bCs w:val="false"/>
                <w:color w:val="000000"/>
                <w:sz w:val="18"/>
                <w:szCs w:val="18"/>
              </w:rPr>
              <w:t xml:space="preserve">Self-guided study</w:t>
            </w:r>
          </w:p>
        </w:tc>
        <w:tc>
          <w:tcPr>
            <w:tcW w:type="dxa" w:w="2400"/>
            <w:shd w:fill="F2F2F2" w:color="auto" w:val="clear"/>
            <w:tcMar>
              <w:top w:type="dxa" w:w="60"/>
              <w:left w:type="dxa" w:w="100"/>
              <w:bottom w:type="dxa" w:w="60"/>
              <w:right w:type="dxa" w:w="100"/>
            </w:tcMar>
          </w:tcPr>
          <w:p>
            <w:pPr>
              <w:spacing w:after="20" w:before="20"/>
            </w:pPr>
            <w:r>
              <w:rPr>
                <w:rFonts w:ascii="Open Sans" w:cs="Open Sans" w:eastAsia="Open Sans" w:hAnsi="Open Sans"/>
                <w:b w:val="false"/>
                <w:bCs w:val="false"/>
                <w:color w:val="000000"/>
                <w:sz w:val="18"/>
                <w:szCs w:val="18"/>
              </w:rPr>
              <w:t xml:space="preserve">54</w:t>
            </w:r>
          </w:p>
        </w:tc>
      </w:tr>
      <w:tr>
        <w:tc>
          <w:tcPr>
            <w:tcW w:type="dxa" w:w="6600"/>
            <w:shd w:fill="D9D9D9" w:color="auto" w:val="clear"/>
            <w:tcMar>
              <w:top w:type="dxa" w:w="60"/>
              <w:left w:type="dxa" w:w="100"/>
              <w:bottom w:type="dxa" w:w="60"/>
              <w:right w:type="dxa" w:w="100"/>
            </w:tcMar>
          </w:tcPr>
          <w:p>
            <w:pPr>
              <w:spacing w:after="20" w:before="20"/>
            </w:pPr>
            <w:r>
              <w:rPr>
                <w:rFonts w:ascii="Open Sans" w:cs="Open Sans" w:eastAsia="Open Sans" w:hAnsi="Open Sans"/>
                <w:b/>
                <w:bCs/>
                <w:color w:val="000000"/>
                <w:sz w:val="18"/>
                <w:szCs w:val="18"/>
              </w:rPr>
              <w:t xml:space="preserve">Total notional hours</w:t>
            </w:r>
          </w:p>
        </w:tc>
        <w:tc>
          <w:tcPr>
            <w:tcW w:type="dxa" w:w="2400"/>
            <w:shd w:fill="D9D9D9" w:color="auto" w:val="clear"/>
            <w:tcMar>
              <w:top w:type="dxa" w:w="60"/>
              <w:left w:type="dxa" w:w="100"/>
              <w:bottom w:type="dxa" w:w="60"/>
              <w:right w:type="dxa" w:w="100"/>
            </w:tcMar>
          </w:tcPr>
          <w:p>
            <w:pPr>
              <w:spacing w:after="20" w:before="20"/>
            </w:pPr>
            <w:r>
              <w:rPr>
                <w:rFonts w:ascii="Open Sans" w:cs="Open Sans" w:eastAsia="Open Sans" w:hAnsi="Open Sans"/>
                <w:b/>
                <w:bCs/>
                <w:color w:val="000000"/>
                <w:sz w:val="18"/>
                <w:szCs w:val="18"/>
              </w:rPr>
              <w:t xml:space="preserve">150</w:t>
            </w:r>
          </w:p>
        </w:tc>
      </w:tr>
    </w:tbl>
    <w:p>
      <w:pPr>
        <w:spacing w:after="120" w:before="240"/>
      </w:pPr>
      <w:r>
        <w:rPr>
          <w:rFonts w:ascii="Open Sans" w:cs="Open Sans" w:eastAsia="Open Sans" w:hAnsi="Open Sans"/>
          <w:b/>
          <w:bCs/>
          <w:color w:val="000000"/>
          <w:sz w:val="24"/>
          <w:szCs w:val="24"/>
        </w:rPr>
        <w:t xml:space="preserve">5. Assessment</w:t>
      </w:r>
    </w:p>
    <w:p>
      <w:pPr>
        <w:spacing w:after="80" w:before="80"/>
      </w:pPr>
      <w:r>
        <w:rPr>
          <w:rFonts w:ascii="Open Sans" w:cs="Open Sans" w:eastAsia="Open Sans" w:hAnsi="Open Sans"/>
          <w:b w:val="false"/>
          <w:bCs w:val="false"/>
          <w:i w:val="false"/>
          <w:iCs w:val="false"/>
          <w:color w:val="000000"/>
          <w:sz w:val="20"/>
          <w:szCs w:val="20"/>
        </w:rPr>
        <w:t xml:space="preserve">Weightings are stated below and are confirmed at specification sign-off.</w:t>
      </w:r>
    </w:p>
    <w:tbl>
      <w:tblPr>
        <w:tblW w:type="dxa" w:w="9000"/>
        <w:tblBorders>
          <w:top w:val="single" w:color="BFBFBF" w:sz="4"/>
          <w:left w:val="single" w:color="BFBFBF" w:sz="4"/>
          <w:bottom w:val="single" w:color="BFBFBF" w:sz="4"/>
          <w:right w:val="single" w:color="BFBFBF" w:sz="4"/>
          <w:insideH w:val="single" w:color="BFBFBF" w:sz="2"/>
          <w:insideV w:val="single" w:color="BFBFBF" w:sz="2"/>
        </w:tblBorders>
      </w:tblPr>
      <w:tblGrid>
        <w:gridCol w:w="1500"/>
        <w:gridCol w:w="3600"/>
        <w:gridCol w:w="2200"/>
        <w:gridCol w:w="900"/>
        <w:gridCol w:w="800"/>
      </w:tblGrid>
      <w:tr>
        <w:trPr>
          <w:tblHeader/>
        </w:trPr>
        <w:tc>
          <w:tcPr>
            <w:tcW w:type="dxa" w:w="1500"/>
            <w:shd w:fill="595959" w:color="auto" w:val="clear"/>
            <w:tcMar>
              <w:top w:type="dxa" w:w="60"/>
              <w:left w:type="dxa" w:w="100"/>
              <w:bottom w:type="dxa" w:w="60"/>
              <w:right w:type="dxa" w:w="100"/>
            </w:tcMar>
          </w:tcPr>
          <w:p>
            <w:pPr>
              <w:spacing w:after="20" w:before="20"/>
            </w:pPr>
            <w:r>
              <w:rPr>
                <w:rFonts w:ascii="Open Sans" w:cs="Open Sans" w:eastAsia="Open Sans" w:hAnsi="Open Sans"/>
                <w:b/>
                <w:bCs/>
                <w:color w:val="FFFFFF"/>
                <w:sz w:val="18"/>
                <w:szCs w:val="18"/>
              </w:rPr>
              <w:t xml:space="preserve">Component</w:t>
            </w:r>
          </w:p>
        </w:tc>
        <w:tc>
          <w:tcPr>
            <w:tcW w:type="dxa" w:w="3600"/>
            <w:shd w:fill="595959" w:color="auto" w:val="clear"/>
            <w:tcMar>
              <w:top w:type="dxa" w:w="60"/>
              <w:left w:type="dxa" w:w="100"/>
              <w:bottom w:type="dxa" w:w="60"/>
              <w:right w:type="dxa" w:w="100"/>
            </w:tcMar>
          </w:tcPr>
          <w:p>
            <w:pPr>
              <w:spacing w:after="20" w:before="20"/>
            </w:pPr>
            <w:r>
              <w:rPr>
                <w:rFonts w:ascii="Open Sans" w:cs="Open Sans" w:eastAsia="Open Sans" w:hAnsi="Open Sans"/>
                <w:b/>
                <w:bCs/>
                <w:color w:val="FFFFFF"/>
                <w:sz w:val="18"/>
                <w:szCs w:val="18"/>
              </w:rPr>
              <w:t xml:space="preserve">Task</w:t>
            </w:r>
          </w:p>
        </w:tc>
        <w:tc>
          <w:tcPr>
            <w:tcW w:type="dxa" w:w="2200"/>
            <w:shd w:fill="595959" w:color="auto" w:val="clear"/>
            <w:tcMar>
              <w:top w:type="dxa" w:w="60"/>
              <w:left w:type="dxa" w:w="100"/>
              <w:bottom w:type="dxa" w:w="60"/>
              <w:right w:type="dxa" w:w="100"/>
            </w:tcMar>
          </w:tcPr>
          <w:p>
            <w:pPr>
              <w:spacing w:after="20" w:before="20"/>
            </w:pPr>
            <w:r>
              <w:rPr>
                <w:rFonts w:ascii="Open Sans" w:cs="Open Sans" w:eastAsia="Open Sans" w:hAnsi="Open Sans"/>
                <w:b/>
                <w:bCs/>
                <w:color w:val="FFFFFF"/>
                <w:sz w:val="18"/>
                <w:szCs w:val="18"/>
              </w:rPr>
              <w:t xml:space="preserve">Conditions</w:t>
            </w:r>
          </w:p>
        </w:tc>
        <w:tc>
          <w:tcPr>
            <w:tcW w:type="dxa" w:w="900"/>
            <w:shd w:fill="595959" w:color="auto" w:val="clear"/>
            <w:tcMar>
              <w:top w:type="dxa" w:w="60"/>
              <w:left w:type="dxa" w:w="100"/>
              <w:bottom w:type="dxa" w:w="60"/>
              <w:right w:type="dxa" w:w="100"/>
            </w:tcMar>
          </w:tcPr>
          <w:p>
            <w:pPr>
              <w:spacing w:after="20" w:before="20"/>
            </w:pPr>
            <w:r>
              <w:rPr>
                <w:rFonts w:ascii="Open Sans" w:cs="Open Sans" w:eastAsia="Open Sans" w:hAnsi="Open Sans"/>
                <w:b/>
                <w:bCs/>
                <w:color w:val="FFFFFF"/>
                <w:sz w:val="18"/>
                <w:szCs w:val="18"/>
              </w:rPr>
              <w:t xml:space="preserve">Outcomes</w:t>
            </w:r>
          </w:p>
        </w:tc>
        <w:tc>
          <w:tcPr>
            <w:tcW w:type="dxa" w:w="800"/>
            <w:shd w:fill="595959" w:color="auto" w:val="clear"/>
            <w:tcMar>
              <w:top w:type="dxa" w:w="60"/>
              <w:left w:type="dxa" w:w="100"/>
              <w:bottom w:type="dxa" w:w="60"/>
              <w:right w:type="dxa" w:w="100"/>
            </w:tcMar>
          </w:tcPr>
          <w:p>
            <w:pPr>
              <w:spacing w:after="20" w:before="20"/>
            </w:pPr>
            <w:r>
              <w:rPr>
                <w:rFonts w:ascii="Open Sans" w:cs="Open Sans" w:eastAsia="Open Sans" w:hAnsi="Open Sans"/>
                <w:b/>
                <w:bCs/>
                <w:color w:val="FFFFFF"/>
                <w:sz w:val="18"/>
                <w:szCs w:val="18"/>
              </w:rPr>
              <w:t xml:space="preserve">Weight</w:t>
            </w:r>
          </w:p>
        </w:tc>
      </w:tr>
      <w:tr>
        <w:tc>
          <w:tcPr>
            <w:tcW w:type="dxa" w:w="1500"/>
            <w:tcMar>
              <w:top w:type="dxa" w:w="60"/>
              <w:left w:type="dxa" w:w="100"/>
              <w:bottom w:type="dxa" w:w="60"/>
              <w:right w:type="dxa" w:w="100"/>
            </w:tcMar>
          </w:tcPr>
          <w:p>
            <w:pPr>
              <w:spacing w:after="20" w:before="20"/>
            </w:pPr>
            <w:r>
              <w:rPr>
                <w:rFonts w:ascii="Open Sans" w:cs="Open Sans" w:eastAsia="Open Sans" w:hAnsi="Open Sans"/>
                <w:b w:val="false"/>
                <w:bCs w:val="false"/>
                <w:color w:val="000000"/>
                <w:sz w:val="18"/>
                <w:szCs w:val="18"/>
              </w:rPr>
              <w:t xml:space="preserve">Coursework</w:t>
            </w:r>
          </w:p>
        </w:tc>
        <w:tc>
          <w:tcPr>
            <w:tcW w:type="dxa" w:w="3600"/>
            <w:tcMar>
              <w:top w:type="dxa" w:w="60"/>
              <w:left w:type="dxa" w:w="100"/>
              <w:bottom w:type="dxa" w:w="60"/>
              <w:right w:type="dxa" w:w="100"/>
            </w:tcMar>
          </w:tcPr>
          <w:p>
            <w:pPr>
              <w:spacing w:after="20" w:before="20"/>
            </w:pPr>
            <w:r>
              <w:rPr>
                <w:rFonts w:ascii="Open Sans" w:cs="Open Sans" w:eastAsia="Open Sans" w:hAnsi="Open Sans"/>
                <w:b w:val="false"/>
                <w:bCs w:val="false"/>
                <w:color w:val="000000"/>
                <w:sz w:val="18"/>
                <w:szCs w:val="18"/>
              </w:rPr>
              <w:t xml:space="preserve">Build brief: from a stated data requirement, design and normalise a schema with the normalisation decisions justified, implement it, and build a pipeline that ingests, transforms and loads into it with failure handling demonstrated. Close with a short section selecting a non-relational or warehoused alternative for one stated access pattern. Submitted as a repository with schema, pipeline and run evidence, plus a report of approximately 1,800 words</w:t>
            </w:r>
          </w:p>
        </w:tc>
        <w:tc>
          <w:tcPr>
            <w:tcW w:type="dxa" w:w="2200"/>
            <w:tcMar>
              <w:top w:type="dxa" w:w="60"/>
              <w:left w:type="dxa" w:w="100"/>
              <w:bottom w:type="dxa" w:w="60"/>
              <w:right w:type="dxa" w:w="100"/>
            </w:tcMar>
          </w:tcPr>
          <w:p>
            <w:pPr>
              <w:spacing w:after="20" w:before="20"/>
            </w:pPr>
            <w:r>
              <w:rPr>
                <w:rFonts w:ascii="Open Sans" w:cs="Open Sans" w:eastAsia="Open Sans" w:hAnsi="Open Sans"/>
                <w:b w:val="false"/>
                <w:bCs w:val="false"/>
                <w:color w:val="000000"/>
                <w:sz w:val="18"/>
                <w:szCs w:val="18"/>
              </w:rPr>
              <w:t xml:space="preserve">Individual; take-home; graded; Viva/Presentation: presentation of 15 minutes at demonstration, running the pipeline and defending the schema design</w:t>
            </w:r>
          </w:p>
        </w:tc>
        <w:tc>
          <w:tcPr>
            <w:tcW w:type="dxa" w:w="900"/>
            <w:tcMar>
              <w:top w:type="dxa" w:w="60"/>
              <w:left w:type="dxa" w:w="100"/>
              <w:bottom w:type="dxa" w:w="60"/>
              <w:right w:type="dxa" w:w="100"/>
            </w:tcMar>
          </w:tcPr>
          <w:p>
            <w:pPr>
              <w:spacing w:after="20" w:before="20"/>
            </w:pPr>
            <w:r>
              <w:rPr>
                <w:rFonts w:ascii="Open Sans" w:cs="Open Sans" w:eastAsia="Open Sans" w:hAnsi="Open Sans"/>
                <w:b w:val="false"/>
                <w:bCs w:val="false"/>
                <w:color w:val="000000"/>
                <w:sz w:val="18"/>
                <w:szCs w:val="18"/>
              </w:rPr>
              <w:t xml:space="preserve">LO1 to LO3</w:t>
            </w:r>
          </w:p>
        </w:tc>
        <w:tc>
          <w:tcPr>
            <w:tcW w:type="dxa" w:w="800"/>
            <w:tcMar>
              <w:top w:type="dxa" w:w="60"/>
              <w:left w:type="dxa" w:w="100"/>
              <w:bottom w:type="dxa" w:w="60"/>
              <w:right w:type="dxa" w:w="100"/>
            </w:tcMar>
          </w:tcPr>
          <w:p>
            <w:pPr>
              <w:spacing w:after="20" w:before="20"/>
            </w:pPr>
            <w:r>
              <w:rPr>
                <w:rFonts w:ascii="Open Sans" w:cs="Open Sans" w:eastAsia="Open Sans" w:hAnsi="Open Sans"/>
                <w:b w:val="false"/>
                <w:bCs w:val="false"/>
                <w:color w:val="000000"/>
                <w:sz w:val="18"/>
                <w:szCs w:val="18"/>
              </w:rPr>
              <w:t xml:space="preserve">60%</w:t>
            </w:r>
          </w:p>
        </w:tc>
      </w:tr>
      <w:tr>
        <w:tc>
          <w:tcPr>
            <w:tcW w:type="dxa" w:w="1500"/>
            <w:shd w:fill="F2F2F2" w:color="auto" w:val="clear"/>
            <w:tcMar>
              <w:top w:type="dxa" w:w="60"/>
              <w:left w:type="dxa" w:w="100"/>
              <w:bottom w:type="dxa" w:w="60"/>
              <w:right w:type="dxa" w:w="100"/>
            </w:tcMar>
          </w:tcPr>
          <w:p>
            <w:pPr>
              <w:spacing w:after="20" w:before="20"/>
            </w:pPr>
            <w:r>
              <w:rPr>
                <w:rFonts w:ascii="Open Sans" w:cs="Open Sans" w:eastAsia="Open Sans" w:hAnsi="Open Sans"/>
                <w:b w:val="false"/>
                <w:bCs w:val="false"/>
                <w:color w:val="000000"/>
                <w:sz w:val="18"/>
                <w:szCs w:val="18"/>
              </w:rPr>
              <w:t xml:space="preserve">Practical</w:t>
            </w:r>
          </w:p>
        </w:tc>
        <w:tc>
          <w:tcPr>
            <w:tcW w:type="dxa" w:w="3600"/>
            <w:shd w:fill="F2F2F2" w:color="auto" w:val="clear"/>
            <w:tcMar>
              <w:top w:type="dxa" w:w="60"/>
              <w:left w:type="dxa" w:w="100"/>
              <w:bottom w:type="dxa" w:w="60"/>
              <w:right w:type="dxa" w:w="100"/>
            </w:tcMar>
          </w:tcPr>
          <w:p>
            <w:pPr>
              <w:spacing w:after="20" w:before="20"/>
            </w:pPr>
            <w:r>
              <w:rPr>
                <w:rFonts w:ascii="Open Sans" w:cs="Open Sans" w:eastAsia="Open Sans" w:hAnsi="Open Sans"/>
                <w:b w:val="false"/>
                <w:bCs w:val="false"/>
                <w:color w:val="000000"/>
                <w:sz w:val="18"/>
                <w:szCs w:val="18"/>
              </w:rPr>
              <w:t xml:space="preserve">Supervised laboratory assessment: normalise a supplied faulty schema, correct its integrity constraints, and write engineering-context queries against it within a fixed session</w:t>
            </w:r>
          </w:p>
        </w:tc>
        <w:tc>
          <w:tcPr>
            <w:tcW w:type="dxa" w:w="2200"/>
            <w:shd w:fill="F2F2F2" w:color="auto" w:val="clear"/>
            <w:tcMar>
              <w:top w:type="dxa" w:w="60"/>
              <w:left w:type="dxa" w:w="100"/>
              <w:bottom w:type="dxa" w:w="60"/>
              <w:right w:type="dxa" w:w="100"/>
            </w:tcMar>
          </w:tcPr>
          <w:p>
            <w:pPr>
              <w:spacing w:after="20" w:before="20"/>
            </w:pPr>
            <w:r>
              <w:rPr>
                <w:rFonts w:ascii="Open Sans" w:cs="Open Sans" w:eastAsia="Open Sans" w:hAnsi="Open Sans"/>
                <w:b w:val="false"/>
                <w:bCs w:val="false"/>
                <w:color w:val="000000"/>
                <w:sz w:val="18"/>
                <w:szCs w:val="18"/>
              </w:rPr>
              <w:t xml:space="preserve">Individual; supervised; graded</w:t>
            </w:r>
          </w:p>
        </w:tc>
        <w:tc>
          <w:tcPr>
            <w:tcW w:type="dxa" w:w="900"/>
            <w:shd w:fill="F2F2F2" w:color="auto" w:val="clear"/>
            <w:tcMar>
              <w:top w:type="dxa" w:w="60"/>
              <w:left w:type="dxa" w:w="100"/>
              <w:bottom w:type="dxa" w:w="60"/>
              <w:right w:type="dxa" w:w="100"/>
            </w:tcMar>
          </w:tcPr>
          <w:p>
            <w:pPr>
              <w:spacing w:after="20" w:before="20"/>
            </w:pPr>
            <w:r>
              <w:rPr>
                <w:rFonts w:ascii="Open Sans" w:cs="Open Sans" w:eastAsia="Open Sans" w:hAnsi="Open Sans"/>
                <w:b w:val="false"/>
                <w:bCs w:val="false"/>
                <w:color w:val="000000"/>
                <w:sz w:val="18"/>
                <w:szCs w:val="18"/>
              </w:rPr>
              <w:t xml:space="preserve">LO1, LO3</w:t>
            </w:r>
          </w:p>
        </w:tc>
        <w:tc>
          <w:tcPr>
            <w:tcW w:type="dxa" w:w="800"/>
            <w:shd w:fill="F2F2F2" w:color="auto" w:val="clear"/>
            <w:tcMar>
              <w:top w:type="dxa" w:w="60"/>
              <w:left w:type="dxa" w:w="100"/>
              <w:bottom w:type="dxa" w:w="60"/>
              <w:right w:type="dxa" w:w="100"/>
            </w:tcMar>
          </w:tcPr>
          <w:p>
            <w:pPr>
              <w:spacing w:after="20" w:before="20"/>
            </w:pPr>
            <w:r>
              <w:rPr>
                <w:rFonts w:ascii="Open Sans" w:cs="Open Sans" w:eastAsia="Open Sans" w:hAnsi="Open Sans"/>
                <w:b w:val="false"/>
                <w:bCs w:val="false"/>
                <w:color w:val="000000"/>
                <w:sz w:val="18"/>
                <w:szCs w:val="18"/>
              </w:rPr>
              <w:t xml:space="preserve">40%</w:t>
            </w:r>
          </w:p>
        </w:tc>
      </w:tr>
    </w:tbl>
    <w:p>
      <w:pPr>
        <w:spacing w:after="80" w:before="80"/>
      </w:pPr>
      <w:r>
        <w:rPr>
          <w:rFonts w:ascii="Open Sans" w:cs="Open Sans" w:eastAsia="Open Sans" w:hAnsi="Open Sans"/>
          <w:b w:val="false"/>
          <w:bCs w:val="false"/>
          <w:i w:val="false"/>
          <w:iCs w:val="false"/>
          <w:color w:val="000000"/>
          <w:sz w:val="20"/>
          <w:szCs w:val="20"/>
        </w:rPr>
        <w:t xml:space="preserve">No examination is carried by design. The capability certified here is design judgment and build competence, both evidenced in artefacts. The supervised laboratory assessment supplies the constrained individual evidence, and a schema-correction task under time pressure is a sharper test of normalisation understanding than an unseen written paper would be.</w:t>
      </w:r>
    </w:p>
    <w:p>
      <w:pPr>
        <w:spacing w:after="80" w:before="80"/>
      </w:pPr>
      <w:r>
        <w:rPr>
          <w:rFonts w:ascii="Open Sans" w:cs="Open Sans" w:eastAsia="Open Sans" w:hAnsi="Open Sans"/>
          <w:b w:val="false"/>
          <w:bCs w:val="false"/>
          <w:i w:val="false"/>
          <w:iCs w:val="false"/>
          <w:color w:val="000000"/>
          <w:sz w:val="20"/>
          <w:szCs w:val="20"/>
        </w:rPr>
        <w:t xml:space="preserve">Reassessment is by failed component. The build brief is an open-resource task in which generative-artificial-intelligence assistance must be declared, with the design justification written by the student; generated schema or pipeline code may be used only where the student can account for it, and the demonstration is where that is tested. The laboratory assessment is closed to such assistance.</w:t>
      </w:r>
    </w:p>
    <w:p>
      <w:pPr>
        <w:spacing w:after="120" w:before="240"/>
      </w:pPr>
      <w:r>
        <w:rPr>
          <w:rFonts w:ascii="Open Sans" w:cs="Open Sans" w:eastAsia="Open Sans" w:hAnsi="Open Sans"/>
          <w:b/>
          <w:bCs/>
          <w:color w:val="000000"/>
          <w:sz w:val="24"/>
          <w:szCs w:val="24"/>
        </w:rPr>
        <w:t xml:space="preserve">6. Resources, Staff and Governance</w:t>
      </w:r>
    </w:p>
    <w:p>
      <w:pPr>
        <w:spacing w:after="80" w:before="80"/>
      </w:pPr>
      <w:r>
        <w:rPr>
          <w:rFonts w:ascii="Open Sans" w:cs="Open Sans" w:eastAsia="Open Sans" w:hAnsi="Open Sans"/>
          <w:b/>
          <w:bCs/>
          <w:i w:val="false"/>
          <w:iCs w:val="false"/>
          <w:color w:val="000000"/>
          <w:sz w:val="20"/>
          <w:szCs w:val="20"/>
        </w:rPr>
        <w:t xml:space="preserve">Indicative reading</w:t>
      </w:r>
    </w:p>
    <w:p>
      <w:pPr>
        <w:spacing w:after="60" w:before="60"/>
        <w:ind w:left="300" w:hanging="300"/>
      </w:pPr>
      <w:r>
        <w:rPr>
          <w:rFonts w:ascii="Open Sans" w:cs="Open Sans" w:eastAsia="Open Sans" w:hAnsi="Open Sans"/>
          <w:b/>
          <w:bCs/>
          <w:sz w:val="18"/>
          <w:szCs w:val="18"/>
        </w:rPr>
        <w:t xml:space="preserve">Core</w:t>
      </w:r>
      <w:r>
        <w:rPr>
          <w:rFonts w:ascii="Open Sans" w:cs="Open Sans" w:eastAsia="Open Sans" w:hAnsi="Open Sans"/>
          <w:sz w:val="18"/>
          <w:szCs w:val="18"/>
        </w:rPr>
        <w:t xml:space="preserve"/>
      </w:r>
    </w:p>
    <w:p>
      <w:pPr>
        <w:spacing w:after="60" w:before="60"/>
        <w:ind w:left="300" w:hanging="300"/>
      </w:pPr>
      <w:r>
        <w:rPr>
          <w:rFonts w:ascii="Open Sans" w:cs="Open Sans" w:eastAsia="Open Sans" w:hAnsi="Open Sans"/>
          <w:b/>
          <w:bCs/>
          <w:sz w:val="18"/>
          <w:szCs w:val="18"/>
        </w:rPr>
        <w:t xml:space="preserve"/>
      </w:r>
      <w:r>
        <w:rPr>
          <w:rFonts w:ascii="Open Sans" w:cs="Open Sans" w:eastAsia="Open Sans" w:hAnsi="Open Sans"/>
          <w:sz w:val="18"/>
          <w:szCs w:val="18"/>
        </w:rPr>
        <w:t xml:space="preserve">Reis, J. and Housley, M. (2022) Fundamentals of Data Engineering: Plan and Build Robust Data Systems. O’Reilly Media. ISBN 978-1-098-10830-4. Primary text for units 4, 5 and 6, and for the lifecycle framing of the module as a whole. Dependency: the text is deliberately technology-neutral and survey-level; it supplies the framework, and the depth comes from laboratory work rather than from the reading.</w:t>
      </w:r>
    </w:p>
    <w:p>
      <w:pPr>
        <w:spacing w:after="60" w:before="60"/>
        <w:ind w:left="300" w:hanging="300"/>
      </w:pPr>
      <w:r>
        <w:rPr>
          <w:rFonts w:ascii="Open Sans" w:cs="Open Sans" w:eastAsia="Open Sans" w:hAnsi="Open Sans"/>
          <w:b/>
          <w:bCs/>
          <w:sz w:val="18"/>
          <w:szCs w:val="18"/>
        </w:rPr>
        <w:t xml:space="preserve"/>
      </w:r>
      <w:r>
        <w:rPr>
          <w:rFonts w:ascii="Open Sans" w:cs="Open Sans" w:eastAsia="Open Sans" w:hAnsi="Open Sans"/>
          <w:sz w:val="18"/>
          <w:szCs w:val="18"/>
        </w:rPr>
        <w:t xml:space="preserve">Connolly, T. and Begg, C. (2015) Database Systems: A Practical Approach to Design, Implementation and Management. 6th edition. Pearson. Primary text for units 1, 2 and 3. Dependency: the introductory SQL chapters belong to Data Models and Management Systems and are not set here; directed reading begins at conceptual and logical design.</w:t>
      </w:r>
    </w:p>
    <w:p>
      <w:pPr>
        <w:spacing w:after="60" w:before="60"/>
        <w:ind w:left="300" w:hanging="300"/>
      </w:pPr>
      <w:r>
        <w:rPr>
          <w:rFonts w:ascii="Open Sans" w:cs="Open Sans" w:eastAsia="Open Sans" w:hAnsi="Open Sans"/>
          <w:b/>
          <w:bCs/>
          <w:sz w:val="18"/>
          <w:szCs w:val="18"/>
        </w:rPr>
        <w:t xml:space="preserve">Supplementary</w:t>
      </w:r>
      <w:r>
        <w:rPr>
          <w:rFonts w:ascii="Open Sans" w:cs="Open Sans" w:eastAsia="Open Sans" w:hAnsi="Open Sans"/>
          <w:sz w:val="18"/>
          <w:szCs w:val="18"/>
        </w:rPr>
        <w:t xml:space="preserve"/>
      </w:r>
    </w:p>
    <w:p>
      <w:pPr>
        <w:spacing w:after="60" w:before="60"/>
        <w:ind w:left="300" w:hanging="300"/>
      </w:pPr>
      <w:r>
        <w:rPr>
          <w:rFonts w:ascii="Open Sans" w:cs="Open Sans" w:eastAsia="Open Sans" w:hAnsi="Open Sans"/>
          <w:b/>
          <w:bCs/>
          <w:sz w:val="18"/>
          <w:szCs w:val="18"/>
        </w:rPr>
        <w:t xml:space="preserve"/>
      </w:r>
      <w:r>
        <w:rPr>
          <w:rFonts w:ascii="Open Sans" w:cs="Open Sans" w:eastAsia="Open Sans" w:hAnsi="Open Sans"/>
          <w:sz w:val="18"/>
          <w:szCs w:val="18"/>
        </w:rPr>
        <w:t xml:space="preserve">Kleppmann, M. and Riccomini, C. (2026) Designing Data-Intensive Applications. 2nd edition. O’Reilly Media. Reference text for the storage-and-retrieval and data-model chapters supporting units 3 and 6. Dependency: pitched at intermediate to advanced practitioners, with much of it concerning distributed systems well beyond this boundary; directed reading is bounded to the named chapters. The second edition is cited because it supersedes the widely circulated 2017 first edition and the two differ substantially in coverage.</w:t>
      </w:r>
    </w:p>
    <w:p>
      <w:pPr>
        <w:spacing w:after="60" w:before="60"/>
        <w:ind w:left="300" w:hanging="300"/>
      </w:pPr>
      <w:r>
        <w:rPr>
          <w:rFonts w:ascii="Open Sans" w:cs="Open Sans" w:eastAsia="Open Sans" w:hAnsi="Open Sans"/>
          <w:b/>
          <w:bCs/>
          <w:sz w:val="18"/>
          <w:szCs w:val="18"/>
        </w:rPr>
        <w:t xml:space="preserve"/>
      </w:r>
      <w:r>
        <w:rPr>
          <w:rFonts w:ascii="Open Sans" w:cs="Open Sans" w:eastAsia="Open Sans" w:hAnsi="Open Sans"/>
          <w:sz w:val="18"/>
          <w:szCs w:val="18"/>
        </w:rPr>
        <w:t xml:space="preserve">Kimball, R. and Ross, M. (2013) The Data Warehouse Toolkit: The Definitive Guide to Dimensional Modeling. 3rd edition. Wiley. Reference for unit 5. Dependency: dated in its technology assumptions; set for the dimensional modelling treatment, which remains current, and not for its platform guidance.</w:t>
      </w:r>
    </w:p>
    <w:p>
      <w:pPr>
        <w:spacing w:after="60" w:before="60"/>
        <w:ind w:left="300" w:hanging="300"/>
      </w:pPr>
      <w:r>
        <w:rPr>
          <w:rFonts w:ascii="Open Sans" w:cs="Open Sans" w:eastAsia="Open Sans" w:hAnsi="Open Sans"/>
          <w:b/>
          <w:bCs/>
          <w:sz w:val="18"/>
          <w:szCs w:val="18"/>
        </w:rPr>
        <w:t xml:space="preserve">School-produced</w:t>
      </w:r>
      <w:r>
        <w:rPr>
          <w:rFonts w:ascii="Open Sans" w:cs="Open Sans" w:eastAsia="Open Sans" w:hAnsi="Open Sans"/>
          <w:sz w:val="18"/>
          <w:szCs w:val="18"/>
        </w:rPr>
        <w:t xml:space="preserve"/>
      </w:r>
    </w:p>
    <w:p>
      <w:pPr>
        <w:spacing w:after="60" w:before="60"/>
        <w:ind w:left="300" w:hanging="300"/>
      </w:pPr>
      <w:r>
        <w:rPr>
          <w:rFonts w:ascii="Open Sans" w:cs="Open Sans" w:eastAsia="Open Sans" w:hAnsi="Open Sans"/>
          <w:b/>
          <w:bCs/>
          <w:sz w:val="18"/>
          <w:szCs w:val="18"/>
        </w:rPr>
        <w:t xml:space="preserve"/>
      </w:r>
      <w:r>
        <w:rPr>
          <w:rFonts w:ascii="Open Sans" w:cs="Open Sans" w:eastAsia="Open Sans" w:hAnsi="Open Sans"/>
          <w:sz w:val="18"/>
          <w:szCs w:val="18"/>
        </w:rPr>
        <w:t xml:space="preserve">A requirements-to-schema exercise set with deliberately awkward requirements, a faulty-schema library for the laboratory assessment, a pipeline scaffold with injectable failures, and a documented sample warehouse. Confirmed at teaching-plan stage.</w:t>
      </w:r>
    </w:p>
    <w:p>
      <w:pPr>
        <w:spacing w:after="80" w:before="200"/>
      </w:pPr>
      <w:r>
        <w:rPr>
          <w:rFonts w:ascii="Open Sans" w:cs="Open Sans" w:eastAsia="Open Sans" w:hAnsi="Open Sans"/>
          <w:b/>
          <w:bCs/>
          <w:i w:val="false"/>
          <w:iCs w:val="false"/>
          <w:color w:val="000000"/>
          <w:sz w:val="20"/>
          <w:szCs w:val="20"/>
        </w:rPr>
        <w:t xml:space="preserve">Staffing</w:t>
      </w:r>
    </w:p>
    <w:tbl>
      <w:tblPr>
        <w:tblW w:type="dxa" w:w="9000"/>
        <w:tblBorders>
          <w:top w:val="single" w:color="BFBFBF" w:sz="4"/>
          <w:left w:val="single" w:color="BFBFBF" w:sz="4"/>
          <w:bottom w:val="single" w:color="BFBFBF" w:sz="4"/>
          <w:right w:val="single" w:color="BFBFBF" w:sz="4"/>
          <w:insideH w:val="single" w:color="BFBFBF" w:sz="2"/>
          <w:insideV w:val="single" w:color="BFBFBF" w:sz="2"/>
        </w:tblBorders>
      </w:tblPr>
      <w:tblGrid>
        <w:gridCol w:w="3000"/>
        <w:gridCol w:w="3000"/>
        <w:gridCol w:w="3000"/>
      </w:tblGrid>
      <w:tr>
        <w:trPr>
          <w:tblHeader/>
        </w:trPr>
        <w:tc>
          <w:tcPr>
            <w:tcW w:type="dxa" w:w="3000"/>
            <w:shd w:fill="595959" w:color="auto" w:val="clear"/>
            <w:tcMar>
              <w:top w:type="dxa" w:w="60"/>
              <w:left w:type="dxa" w:w="100"/>
              <w:bottom w:type="dxa" w:w="60"/>
              <w:right w:type="dxa" w:w="100"/>
            </w:tcMar>
          </w:tcPr>
          <w:p>
            <w:pPr>
              <w:spacing w:after="20" w:before="20"/>
            </w:pPr>
            <w:r>
              <w:rPr>
                <w:rFonts w:ascii="Open Sans" w:cs="Open Sans" w:eastAsia="Open Sans" w:hAnsi="Open Sans"/>
                <w:b/>
                <w:bCs/>
                <w:color w:val="FFFFFF"/>
                <w:sz w:val="18"/>
                <w:szCs w:val="18"/>
              </w:rPr>
              <w:t xml:space="preserve">Role</w:t>
            </w:r>
          </w:p>
        </w:tc>
        <w:tc>
          <w:tcPr>
            <w:tcW w:type="dxa" w:w="3000"/>
            <w:shd w:fill="595959" w:color="auto" w:val="clear"/>
            <w:tcMar>
              <w:top w:type="dxa" w:w="60"/>
              <w:left w:type="dxa" w:w="100"/>
              <w:bottom w:type="dxa" w:w="60"/>
              <w:right w:type="dxa" w:w="100"/>
            </w:tcMar>
          </w:tcPr>
          <w:p>
            <w:pPr>
              <w:spacing w:after="20" w:before="20"/>
            </w:pPr>
            <w:r>
              <w:rPr>
                <w:rFonts w:ascii="Open Sans" w:cs="Open Sans" w:eastAsia="Open Sans" w:hAnsi="Open Sans"/>
                <w:b/>
                <w:bCs/>
                <w:color w:val="FFFFFF"/>
                <w:sz w:val="18"/>
                <w:szCs w:val="18"/>
              </w:rPr>
              <w:t xml:space="preserve">Name</w:t>
            </w:r>
          </w:p>
        </w:tc>
        <w:tc>
          <w:tcPr>
            <w:tcW w:type="dxa" w:w="3000"/>
            <w:shd w:fill="595959" w:color="auto" w:val="clear"/>
            <w:tcMar>
              <w:top w:type="dxa" w:w="60"/>
              <w:left w:type="dxa" w:w="100"/>
              <w:bottom w:type="dxa" w:w="60"/>
              <w:right w:type="dxa" w:w="100"/>
            </w:tcMar>
          </w:tcPr>
          <w:p>
            <w:pPr>
              <w:spacing w:after="20" w:before="20"/>
            </w:pPr>
            <w:r>
              <w:rPr>
                <w:rFonts w:ascii="Open Sans" w:cs="Open Sans" w:eastAsia="Open Sans" w:hAnsi="Open Sans"/>
                <w:b/>
                <w:bCs/>
                <w:color w:val="FFFFFF"/>
                <w:sz w:val="18"/>
                <w:szCs w:val="18"/>
              </w:rPr>
              <w:t xml:space="preserve">Domain credential</w:t>
            </w:r>
          </w:p>
        </w:tc>
      </w:tr>
      <w:tr>
        <w:tc>
          <w:tcPr>
            <w:tcW w:type="dxa" w:w="3000"/>
            <w:tcMar>
              <w:top w:type="dxa" w:w="60"/>
              <w:left w:type="dxa" w:w="100"/>
              <w:bottom w:type="dxa" w:w="60"/>
              <w:right w:type="dxa" w:w="100"/>
            </w:tcMar>
          </w:tcPr>
          <w:p>
            <w:pPr>
              <w:spacing w:after="20" w:before="20"/>
            </w:pPr>
            <w:r>
              <w:rPr>
                <w:rFonts w:ascii="Open Sans" w:cs="Open Sans" w:eastAsia="Open Sans" w:hAnsi="Open Sans"/>
                <w:b w:val="false"/>
                <w:bCs w:val="false"/>
                <w:color w:val="000000"/>
                <w:sz w:val="18"/>
                <w:szCs w:val="18"/>
              </w:rPr>
              <w:t xml:space="preserve">Module leader 1</w:t>
            </w:r>
          </w:p>
        </w:tc>
        <w:tc>
          <w:tcPr>
            <w:tcW w:type="dxa" w:w="3000"/>
            <w:tcMar>
              <w:top w:type="dxa" w:w="60"/>
              <w:left w:type="dxa" w:w="100"/>
              <w:bottom w:type="dxa" w:w="60"/>
              <w:right w:type="dxa" w:w="100"/>
            </w:tcMar>
          </w:tcPr>
          <w:p>
            <w:pPr>
              <w:spacing w:after="20" w:before="20"/>
            </w:pPr>
            <w:r>
              <w:rPr>
                <w:rFonts w:ascii="Open Sans" w:cs="Open Sans" w:eastAsia="Open Sans" w:hAnsi="Open Sans"/>
                <w:b w:val="false"/>
                <w:bCs w:val="false"/>
                <w:color w:val="000000"/>
                <w:sz w:val="18"/>
                <w:szCs w:val="18"/>
              </w:rPr>
              <w:t xml:space="preserve"/>
            </w:r>
          </w:p>
        </w:tc>
        <w:tc>
          <w:tcPr>
            <w:tcW w:type="dxa" w:w="3000"/>
            <w:tcMar>
              <w:top w:type="dxa" w:w="60"/>
              <w:left w:type="dxa" w:w="100"/>
              <w:bottom w:type="dxa" w:w="60"/>
              <w:right w:type="dxa" w:w="100"/>
            </w:tcMar>
          </w:tcPr>
          <w:p>
            <w:pPr>
              <w:spacing w:after="20" w:before="20"/>
            </w:pPr>
            <w:r>
              <w:rPr>
                <w:rFonts w:ascii="Open Sans" w:cs="Open Sans" w:eastAsia="Open Sans" w:hAnsi="Open Sans"/>
                <w:b w:val="false"/>
                <w:bCs w:val="false"/>
                <w:color w:val="000000"/>
                <w:sz w:val="18"/>
                <w:szCs w:val="18"/>
              </w:rPr>
              <w:t xml:space="preserve"/>
            </w:r>
          </w:p>
        </w:tc>
      </w:tr>
      <w:tr>
        <w:tc>
          <w:tcPr>
            <w:tcW w:type="dxa" w:w="3000"/>
            <w:shd w:fill="F2F2F2" w:color="auto" w:val="clear"/>
            <w:tcMar>
              <w:top w:type="dxa" w:w="60"/>
              <w:left w:type="dxa" w:w="100"/>
              <w:bottom w:type="dxa" w:w="60"/>
              <w:right w:type="dxa" w:w="100"/>
            </w:tcMar>
          </w:tcPr>
          <w:p>
            <w:pPr>
              <w:spacing w:after="20" w:before="20"/>
            </w:pPr>
            <w:r>
              <w:rPr>
                <w:rFonts w:ascii="Open Sans" w:cs="Open Sans" w:eastAsia="Open Sans" w:hAnsi="Open Sans"/>
                <w:b w:val="false"/>
                <w:bCs w:val="false"/>
                <w:color w:val="000000"/>
                <w:sz w:val="18"/>
                <w:szCs w:val="18"/>
              </w:rPr>
              <w:t xml:space="preserve">Module leader 2</w:t>
            </w:r>
          </w:p>
        </w:tc>
        <w:tc>
          <w:tcPr>
            <w:tcW w:type="dxa" w:w="3000"/>
            <w:shd w:fill="F2F2F2" w:color="auto" w:val="clear"/>
            <w:tcMar>
              <w:top w:type="dxa" w:w="60"/>
              <w:left w:type="dxa" w:w="100"/>
              <w:bottom w:type="dxa" w:w="60"/>
              <w:right w:type="dxa" w:w="100"/>
            </w:tcMar>
          </w:tcPr>
          <w:p>
            <w:pPr>
              <w:spacing w:after="20" w:before="20"/>
            </w:pPr>
            <w:r>
              <w:rPr>
                <w:rFonts w:ascii="Open Sans" w:cs="Open Sans" w:eastAsia="Open Sans" w:hAnsi="Open Sans"/>
                <w:b w:val="false"/>
                <w:bCs w:val="false"/>
                <w:color w:val="000000"/>
                <w:sz w:val="18"/>
                <w:szCs w:val="18"/>
              </w:rPr>
              <w:t xml:space="preserve"/>
            </w:r>
          </w:p>
        </w:tc>
        <w:tc>
          <w:tcPr>
            <w:tcW w:type="dxa" w:w="3000"/>
            <w:shd w:fill="F2F2F2" w:color="auto" w:val="clear"/>
            <w:tcMar>
              <w:top w:type="dxa" w:w="60"/>
              <w:left w:type="dxa" w:w="100"/>
              <w:bottom w:type="dxa" w:w="60"/>
              <w:right w:type="dxa" w:w="100"/>
            </w:tcMar>
          </w:tcPr>
          <w:p>
            <w:pPr>
              <w:spacing w:after="20" w:before="20"/>
            </w:pPr>
            <w:r>
              <w:rPr>
                <w:rFonts w:ascii="Open Sans" w:cs="Open Sans" w:eastAsia="Open Sans" w:hAnsi="Open Sans"/>
                <w:b w:val="false"/>
                <w:bCs w:val="false"/>
                <w:color w:val="000000"/>
                <w:sz w:val="18"/>
                <w:szCs w:val="18"/>
              </w:rPr>
              <w:t xml:space="preserve"/>
            </w:r>
          </w:p>
        </w:tc>
      </w:tr>
      <w:tr>
        <w:tc>
          <w:tcPr>
            <w:tcW w:type="dxa" w:w="3000"/>
            <w:tcMar>
              <w:top w:type="dxa" w:w="60"/>
              <w:left w:type="dxa" w:w="100"/>
              <w:bottom w:type="dxa" w:w="60"/>
              <w:right w:type="dxa" w:w="100"/>
            </w:tcMar>
          </w:tcPr>
          <w:p>
            <w:pPr>
              <w:spacing w:after="20" w:before="20"/>
            </w:pPr>
            <w:r>
              <w:rPr>
                <w:rFonts w:ascii="Open Sans" w:cs="Open Sans" w:eastAsia="Open Sans" w:hAnsi="Open Sans"/>
                <w:b w:val="false"/>
                <w:bCs w:val="false"/>
                <w:color w:val="000000"/>
                <w:sz w:val="18"/>
                <w:szCs w:val="18"/>
              </w:rPr>
              <w:t xml:space="preserve">External module auditor</w:t>
            </w:r>
          </w:p>
        </w:tc>
        <w:tc>
          <w:tcPr>
            <w:tcW w:type="dxa" w:w="3000"/>
            <w:tcMar>
              <w:top w:type="dxa" w:w="60"/>
              <w:left w:type="dxa" w:w="100"/>
              <w:bottom w:type="dxa" w:w="60"/>
              <w:right w:type="dxa" w:w="100"/>
            </w:tcMar>
          </w:tcPr>
          <w:p>
            <w:pPr>
              <w:spacing w:after="20" w:before="20"/>
            </w:pPr>
            <w:r>
              <w:rPr>
                <w:rFonts w:ascii="Open Sans" w:cs="Open Sans" w:eastAsia="Open Sans" w:hAnsi="Open Sans"/>
                <w:b w:val="false"/>
                <w:bCs w:val="false"/>
                <w:color w:val="000000"/>
                <w:sz w:val="18"/>
                <w:szCs w:val="18"/>
              </w:rPr>
              <w:t xml:space="preserve"/>
            </w:r>
          </w:p>
        </w:tc>
        <w:tc>
          <w:tcPr>
            <w:tcW w:type="dxa" w:w="3000"/>
            <w:tcMar>
              <w:top w:type="dxa" w:w="60"/>
              <w:left w:type="dxa" w:w="100"/>
              <w:bottom w:type="dxa" w:w="60"/>
              <w:right w:type="dxa" w:w="100"/>
            </w:tcMar>
          </w:tcPr>
          <w:p>
            <w:pPr>
              <w:spacing w:after="20" w:before="20"/>
            </w:pPr>
            <w:r>
              <w:rPr>
                <w:rFonts w:ascii="Open Sans" w:cs="Open Sans" w:eastAsia="Open Sans" w:hAnsi="Open Sans"/>
                <w:b w:val="false"/>
                <w:bCs w:val="false"/>
                <w:color w:val="000000"/>
                <w:sz w:val="18"/>
                <w:szCs w:val="18"/>
              </w:rPr>
              <w:t xml:space="preserve"/>
            </w:r>
          </w:p>
        </w:tc>
      </w:tr>
    </w:tbl>
    <w:p>
      <w:pPr>
        <w:spacing w:after="80" w:before="140"/>
      </w:pPr>
      <w:r>
        <w:rPr>
          <w:rFonts w:ascii="Open Sans" w:cs="Open Sans" w:eastAsia="Open Sans" w:hAnsi="Open Sans"/>
          <w:b w:val="false"/>
          <w:bCs w:val="false"/>
          <w:i w:val="false"/>
          <w:iCs w:val="false"/>
          <w:color w:val="000000"/>
          <w:sz w:val="20"/>
          <w:szCs w:val="20"/>
        </w:rPr>
        <w:t xml:space="preserve">Domain-expertise statement: delivery requires data-engineering and database-systems expertise, including practical pipeline experience. The instruction that this module must not thin the design-and-engineering side is a delivery instruction as much as a documentary one: a leader without engineering practice will drift the module back toward query teaching, which the earlier module already covers and which would leave the design side under-served.</w:t>
      </w:r>
    </w:p>
    <w:p>
      <w:pPr>
        <w:spacing w:after="80" w:before="200"/>
      </w:pPr>
      <w:r>
        <w:rPr>
          <w:rFonts w:ascii="Open Sans" w:cs="Open Sans" w:eastAsia="Open Sans" w:hAnsi="Open Sans"/>
          <w:b/>
          <w:bCs/>
          <w:i w:val="false"/>
          <w:iCs w:val="false"/>
          <w:color w:val="000000"/>
          <w:sz w:val="20"/>
          <w:szCs w:val="20"/>
        </w:rPr>
        <w:t xml:space="preserve">Sign-off</w:t>
      </w:r>
    </w:p>
    <w:tbl>
      <w:tblPr>
        <w:tblW w:type="dxa" w:w="9000"/>
        <w:tblBorders>
          <w:top w:val="single" w:color="BFBFBF" w:sz="4"/>
          <w:left w:val="single" w:color="BFBFBF" w:sz="4"/>
          <w:bottom w:val="single" w:color="BFBFBF" w:sz="4"/>
          <w:right w:val="single" w:color="BFBFBF" w:sz="4"/>
          <w:insideH w:val="single" w:color="BFBFBF" w:sz="2"/>
          <w:insideV w:val="single" w:color="BFBFBF" w:sz="2"/>
        </w:tblBorders>
      </w:tblPr>
      <w:tblGrid>
        <w:gridCol w:w="1800"/>
        <w:gridCol w:w="2600"/>
        <w:gridCol w:w="4600"/>
      </w:tblGrid>
      <w:tr>
        <w:trPr>
          <w:tblHeader/>
        </w:trPr>
        <w:tc>
          <w:tcPr>
            <w:tcW w:type="dxa" w:w="1800"/>
            <w:shd w:fill="595959" w:color="auto" w:val="clear"/>
            <w:tcMar>
              <w:top w:type="dxa" w:w="60"/>
              <w:left w:type="dxa" w:w="100"/>
              <w:bottom w:type="dxa" w:w="60"/>
              <w:right w:type="dxa" w:w="100"/>
            </w:tcMar>
          </w:tcPr>
          <w:p>
            <w:pPr>
              <w:spacing w:after="20" w:before="20"/>
            </w:pPr>
            <w:r>
              <w:rPr>
                <w:rFonts w:ascii="Open Sans" w:cs="Open Sans" w:eastAsia="Open Sans" w:hAnsi="Open Sans"/>
                <w:b/>
                <w:bCs/>
                <w:color w:val="FFFFFF"/>
                <w:sz w:val="18"/>
                <w:szCs w:val="18"/>
              </w:rPr>
              <w:t xml:space="preserve">Version</w:t>
            </w:r>
          </w:p>
        </w:tc>
        <w:tc>
          <w:tcPr>
            <w:tcW w:type="dxa" w:w="2600"/>
            <w:shd w:fill="595959" w:color="auto" w:val="clear"/>
            <w:tcMar>
              <w:top w:type="dxa" w:w="60"/>
              <w:left w:type="dxa" w:w="100"/>
              <w:bottom w:type="dxa" w:w="60"/>
              <w:right w:type="dxa" w:w="100"/>
            </w:tcMar>
          </w:tcPr>
          <w:p>
            <w:pPr>
              <w:spacing w:after="20" w:before="20"/>
            </w:pPr>
            <w:r>
              <w:rPr>
                <w:rFonts w:ascii="Open Sans" w:cs="Open Sans" w:eastAsia="Open Sans" w:hAnsi="Open Sans"/>
                <w:b/>
                <w:bCs/>
                <w:color w:val="FFFFFF"/>
                <w:sz w:val="18"/>
                <w:szCs w:val="18"/>
              </w:rPr>
              <w:t xml:space="preserve">Date</w:t>
            </w:r>
          </w:p>
        </w:tc>
        <w:tc>
          <w:tcPr>
            <w:tcW w:type="dxa" w:w="4600"/>
            <w:shd w:fill="595959" w:color="auto" w:val="clear"/>
            <w:tcMar>
              <w:top w:type="dxa" w:w="60"/>
              <w:left w:type="dxa" w:w="100"/>
              <w:bottom w:type="dxa" w:w="60"/>
              <w:right w:type="dxa" w:w="100"/>
            </w:tcMar>
          </w:tcPr>
          <w:p>
            <w:pPr>
              <w:spacing w:after="20" w:before="20"/>
            </w:pPr>
            <w:r>
              <w:rPr>
                <w:rFonts w:ascii="Open Sans" w:cs="Open Sans" w:eastAsia="Open Sans" w:hAnsi="Open Sans"/>
                <w:b/>
                <w:bCs/>
                <w:color w:val="FFFFFF"/>
                <w:sz w:val="18"/>
                <w:szCs w:val="18"/>
              </w:rPr>
              <w:t xml:space="preserve">Status</w:t>
            </w:r>
          </w:p>
        </w:tc>
      </w:tr>
      <w:tr>
        <w:tc>
          <w:tcPr>
            <w:tcW w:type="dxa" w:w="1800"/>
            <w:tcMar>
              <w:top w:type="dxa" w:w="60"/>
              <w:left w:type="dxa" w:w="100"/>
              <w:bottom w:type="dxa" w:w="60"/>
              <w:right w:type="dxa" w:w="100"/>
            </w:tcMar>
          </w:tcPr>
          <w:p>
            <w:pPr>
              <w:spacing w:after="20" w:before="20"/>
            </w:pPr>
            <w:r>
              <w:rPr>
                <w:rFonts w:ascii="Open Sans" w:cs="Open Sans" w:eastAsia="Open Sans" w:hAnsi="Open Sans"/>
                <w:b w:val="false"/>
                <w:bCs w:val="false"/>
                <w:color w:val="000000"/>
                <w:sz w:val="18"/>
                <w:szCs w:val="18"/>
              </w:rPr>
              <w:t xml:space="preserve">1.0</w:t>
            </w:r>
          </w:p>
        </w:tc>
        <w:tc>
          <w:tcPr>
            <w:tcW w:type="dxa" w:w="2600"/>
            <w:tcMar>
              <w:top w:type="dxa" w:w="60"/>
              <w:left w:type="dxa" w:w="100"/>
              <w:bottom w:type="dxa" w:w="60"/>
              <w:right w:type="dxa" w:w="100"/>
            </w:tcMar>
          </w:tcPr>
          <w:p>
            <w:pPr>
              <w:spacing w:after="20" w:before="20"/>
            </w:pPr>
            <w:r>
              <w:rPr>
                <w:rFonts w:ascii="Open Sans" w:cs="Open Sans" w:eastAsia="Open Sans" w:hAnsi="Open Sans"/>
                <w:b w:val="false"/>
                <w:bCs w:val="false"/>
                <w:color w:val="000000"/>
                <w:sz w:val="18"/>
                <w:szCs w:val="18"/>
              </w:rPr>
              <w:t xml:space="preserve">22 July 2026</w:t>
            </w:r>
          </w:p>
        </w:tc>
        <w:tc>
          <w:tcPr>
            <w:tcW w:type="dxa" w:w="4600"/>
            <w:tcMar>
              <w:top w:type="dxa" w:w="60"/>
              <w:left w:type="dxa" w:w="100"/>
              <w:bottom w:type="dxa" w:w="60"/>
              <w:right w:type="dxa" w:w="100"/>
            </w:tcMar>
          </w:tcPr>
          <w:p>
            <w:pPr>
              <w:spacing w:after="20" w:before="20"/>
            </w:pPr>
            <w:r>
              <w:rPr>
                <w:rFonts w:ascii="Open Sans" w:cs="Open Sans" w:eastAsia="Open Sans" w:hAnsi="Open Sans"/>
                <w:b w:val="false"/>
                <w:bCs w:val="false"/>
                <w:color w:val="000000"/>
                <w:sz w:val="18"/>
                <w:szCs w:val="18"/>
              </w:rPr>
              <w:t xml:space="preserve">Issued for review</w:t>
            </w:r>
          </w:p>
        </w:tc>
      </w:tr>
    </w:tbl>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Open Sans" w:cs="Open Sans" w:eastAsia="Open Sans" w:hAnsi="Open Sans"/>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2026-07-22T03:16:30.119Z</dcterms:created>
  <dcterms:modified xsi:type="dcterms:W3CDTF">2026-07-22T03:16:30.226Z</dcterms:modified>
</cp:coreProperties>
</file>

<file path=docProps/custom.xml><?xml version="1.0" encoding="utf-8"?>
<Properties xmlns="http://schemas.openxmlformats.org/officeDocument/2006/custom-properties" xmlns:vt="http://schemas.openxmlformats.org/officeDocument/2006/docPropsVTypes"/>
</file>