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Open Sans" w:cs="Open Sans" w:eastAsia="Open Sans" w:hAnsi="Open Sans"/>
          <w:b/>
          <w:bCs/>
          <w:color w:val="000000"/>
          <w:sz w:val="30"/>
          <w:szCs w:val="30"/>
        </w:rPr>
        <w:t xml:space="preserve">Module Descriptor</w:t>
      </w:r>
    </w:p>
    <w:p>
      <w:pPr>
        <w:pBdr>
          <w:bottom w:val="single" w:color="595959" w:sz="8" w:space="6"/>
        </w:pBdr>
        <w:spacing w:after="200" w:before="0"/>
      </w:pPr>
      <w:r>
        <w:rPr>
          <w:rFonts w:ascii="Open Sans" w:cs="Open Sans" w:eastAsia="Open Sans" w:hAnsi="Open Sans"/>
          <w:b/>
          <w:bCs/>
          <w:color w:val="595959"/>
          <w:sz w:val="34"/>
          <w:szCs w:val="34"/>
        </w:rPr>
        <w:t xml:space="preserve">Web and API Technologies</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2400"/>
        <w:gridCol w:w="6600"/>
      </w:tblGrid>
      <w:tr>
        <w:trPr>
          <w:tblHeader/>
        </w:trPr>
        <w:tc>
          <w:tcPr>
            <w:tcW w:type="dxa" w:w="24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Field</w:t>
            </w:r>
          </w:p>
        </w:tc>
        <w:tc>
          <w:tcPr>
            <w:tcW w:type="dxa" w:w="6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Value</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Module code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NB-SOCE-L4-AD-TT-06</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Category</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Pathway module, taught</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Programme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BSc Computer Science with Artificial Intelligence and Data Science</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Status</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Draft for review, version 1.0</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Date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22 July 2026</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Sources</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School curriculum decision records; Sri Lanka Qualifications Framework (September 2015 edition, University Grants Commission); partner university module descriptors</w:t>
            </w:r>
          </w:p>
        </w:tc>
      </w:tr>
    </w:tbl>
    <w:p>
      <w:pPr>
        <w:spacing w:after="120" w:before="240"/>
      </w:pPr>
      <w:r>
        <w:rPr>
          <w:rFonts w:ascii="Open Sans" w:cs="Open Sans" w:eastAsia="Open Sans" w:hAnsi="Open Sans"/>
          <w:b/>
          <w:bCs/>
          <w:color w:val="000000"/>
          <w:sz w:val="24"/>
          <w:szCs w:val="24"/>
        </w:rPr>
        <w:t xml:space="preserve">1. Module Identity and Architecture</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2400"/>
        <w:gridCol w:w="6600"/>
      </w:tblGrid>
      <w:tr>
        <w:trPr>
          <w:tblHeader/>
        </w:trPr>
        <w:tc>
          <w:tcPr>
            <w:tcW w:type="dxa" w:w="24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Field</w:t>
            </w:r>
          </w:p>
        </w:tc>
        <w:tc>
          <w:tcPr>
            <w:tcW w:type="dxa" w:w="6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Value</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Module title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Web and API Technologies</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SLQF level and credits</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Level 4 (Year 2); 3 credits; 150 notional hours</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Feeder targets</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NB5004CEM Cyber Security, for the client-server model, HTTPS and web authentication. NB6024CEM Data Visualisation, for interactive dashboards and data-application deployment. NB6021CEM AI Security, which treats application programming interfaces as an attack surface and assumes students have built one. The module also serves model-serving for Machine Learning Engineering.</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Prerequisites</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Programming Concepts, which for this pathway supplies Python, so the serving and framework work continues the pathway language without a transition.</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Delivery mode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Session-based delivery in 3-hour blocks; 16 lecture sessions plus tutorials, practicals and demonstration</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Progression role</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Year 2 pathway module; not a bridging module.</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Exit-award relevance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Data-application delivery competency in the pathway profile at Higher National Diploma level. Exit-award requirements remain subject to change and additional requirements may be introduced by the accrediting authority; the specification remains adaptable.</w:t>
            </w:r>
          </w:p>
        </w:tc>
      </w:tr>
    </w:tbl>
    <w:p>
      <w:pPr>
        <w:spacing w:after="120" w:before="240"/>
      </w:pPr>
      <w:r>
        <w:rPr>
          <w:rFonts w:ascii="Open Sans" w:cs="Open Sans" w:eastAsia="Open Sans" w:hAnsi="Open Sans"/>
          <w:b/>
          <w:bCs/>
          <w:color w:val="000000"/>
          <w:sz w:val="24"/>
          <w:szCs w:val="24"/>
        </w:rPr>
        <w:t xml:space="preserve">2. Module Purpose and Aims</w:t>
      </w:r>
    </w:p>
    <w:p>
      <w:pPr>
        <w:spacing w:after="80" w:before="80"/>
      </w:pPr>
      <w:r>
        <w:rPr>
          <w:rFonts w:ascii="Open Sans" w:cs="Open Sans" w:eastAsia="Open Sans" w:hAnsi="Open Sans"/>
          <w:b w:val="false"/>
          <w:bCs w:val="false"/>
          <w:i w:val="false"/>
          <w:iCs w:val="false"/>
          <w:color w:val="000000"/>
          <w:sz w:val="20"/>
          <w:szCs w:val="20"/>
        </w:rPr>
        <w:t xml:space="preserve">This module is where the pathway’s work becomes reachable by someone else. A model that only runs in its author’s notebook and a dataset that only opens on its author’s machine are not deliverable outcomes; this module teaches students to put both behind an interface that another system, or another person, can use.</w:t>
      </w:r>
    </w:p>
    <w:p>
      <w:pPr>
        <w:spacing w:after="80" w:before="80"/>
      </w:pPr>
      <w:r>
        <w:rPr>
          <w:rFonts w:ascii="Open Sans" w:cs="Open Sans" w:eastAsia="Open Sans" w:hAnsi="Open Sans"/>
          <w:b w:val="false"/>
          <w:bCs w:val="false"/>
          <w:i w:val="false"/>
          <w:iCs w:val="false"/>
          <w:color w:val="000000"/>
          <w:sz w:val="20"/>
          <w:szCs w:val="20"/>
        </w:rPr>
        <w:t xml:space="preserve">It does three things in sequence. It establishes how the web works at the level of the request and the response, because a student who does not understand statelessness will design an interface that fights it. It teaches the design of application programming interfaces as a design discipline with contracts, semantics and versioning, not as a framework tutorial. And it applies both to the pathway’s own output: a trained model served behind an endpoint, and an interactive data application deployed for an audience.</w:t>
      </w:r>
    </w:p>
    <w:p>
      <w:pPr>
        <w:spacing w:after="80" w:before="80"/>
      </w:pPr>
      <w:r>
        <w:rPr>
          <w:rFonts w:ascii="Open Sans" w:cs="Open Sans" w:eastAsia="Open Sans" w:hAnsi="Open Sans"/>
          <w:b w:val="false"/>
          <w:bCs w:val="false"/>
          <w:i w:val="false"/>
          <w:iCs w:val="false"/>
          <w:color w:val="000000"/>
          <w:sz w:val="20"/>
          <w:szCs w:val="20"/>
        </w:rPr>
        <w:t xml:space="preserve">Workload exposure, named: this is the most compressed module in the pathway relative to its scope. The programme carries no earlier web module, so students arrive with no markup, styling or client-side scripting at all, and the boundary nonetheless requires client-server foundations, RESTful design, serving and deployment inside 48 lecture hours. The compromise made is that client-side work is bounded to consumption: students learn enough to call an interface and render its result, and are not taught front-end development. That keeps the module honest about what it can deliver, and it is recorded so that a reviewer sees a deliberate decision rather than a gap. If the programme later wants genuine client-side capability, that is a structural question about an additional module, not something this one can absorb.</w:t>
      </w:r>
    </w:p>
    <w:p>
      <w:pPr>
        <w:spacing w:after="80" w:before="80"/>
      </w:pPr>
      <w:r>
        <w:rPr>
          <w:rFonts w:ascii="Open Sans" w:cs="Open Sans" w:eastAsia="Open Sans" w:hAnsi="Open Sans"/>
          <w:b w:val="false"/>
          <w:bCs w:val="false"/>
          <w:i w:val="false"/>
          <w:iCs w:val="false"/>
          <w:color w:val="000000"/>
          <w:sz w:val="20"/>
          <w:szCs w:val="20"/>
        </w:rPr>
        <w:t xml:space="preserve">The scope limits are two. Deep security engineering belongs to NB5004CEM at the partner university, so authentication and transport security are treated at the level a competent builder needs and no further. Data-engineering depth belongs to Data Engineering and Pipelines, which builds the store this module may expose.</w:t>
      </w:r>
    </w:p>
    <w:p>
      <w:pPr>
        <w:spacing w:after="80" w:before="160"/>
      </w:pPr>
      <w:r>
        <w:rPr>
          <w:rFonts w:ascii="Open Sans" w:cs="Open Sans" w:eastAsia="Open Sans" w:hAnsi="Open Sans"/>
          <w:b/>
          <w:bCs/>
          <w:i w:val="false"/>
          <w:iCs w:val="false"/>
          <w:color w:val="000000"/>
          <w:sz w:val="20"/>
          <w:szCs w:val="20"/>
        </w:rPr>
        <w:t xml:space="preserve">Specification boundary</w:t>
      </w:r>
    </w:p>
    <w:tbl>
      <w:tblPr>
        <w:tblW w:type="dxa" w:w="9000"/>
        <w:tblBorders>
          <w:top w:val="none" w:color="FFFFFF" w:sz="0"/>
          <w:left w:val="single" w:color="595959" w:sz="18"/>
          <w:bottom w:val="none" w:color="FFFFFF" w:sz="0"/>
          <w:right w:val="none" w:color="FFFFFF" w:sz="0"/>
          <w:insideH w:val="none" w:color="FFFFFF" w:sz="0"/>
          <w:insideV w:val="none" w:color="FFFFFF" w:sz="0"/>
        </w:tblBorders>
      </w:tblPr>
      <w:tblGrid>
        <w:gridCol w:w="9000"/>
      </w:tblGrid>
      <w:tr>
        <w:tc>
          <w:tcPr>
            <w:tcW w:type="dxa" w:w="9000"/>
            <w:shd w:fill="F7F7F7" w:color="auto" w:val="clear"/>
            <w:tcMar>
              <w:top w:type="dxa" w:w="140"/>
              <w:left w:type="dxa" w:w="200"/>
              <w:bottom w:type="dxa" w:w="140"/>
              <w:right w:type="dxa" w:w="160"/>
            </w:tcMar>
          </w:tcPr>
          <w:p>
            <w:pPr>
              <w:spacing w:after="40" w:before="40"/>
            </w:pPr>
            <w:r>
              <w:rPr>
                <w:rFonts w:ascii="Open Sans" w:cs="Open Sans" w:eastAsia="Open Sans" w:hAnsi="Open Sans"/>
                <w:b/>
                <w:bCs/>
                <w:sz w:val="18"/>
                <w:szCs w:val="18"/>
              </w:rPr>
              <w:t xml:space="preserve">Covers: </w:t>
            </w:r>
            <w:r>
              <w:rPr>
                <w:rFonts w:ascii="Open Sans" w:cs="Open Sans" w:eastAsia="Open Sans" w:hAnsi="Open Sans"/>
                <w:i w:val="false"/>
                <w:iCs w:val="false"/>
                <w:sz w:val="18"/>
                <w:szCs w:val="18"/>
              </w:rPr>
              <w:t xml:space="preserve">the web and client-server model; RESTful application programming interface design; serving data and models over interfaces; interactive dashboard and data-application deployment.</w:t>
            </w:r>
          </w:p>
          <w:p>
            <w:pPr>
              <w:spacing w:after="40" w:before="40"/>
            </w:pPr>
            <w:r>
              <w:rPr>
                <w:rFonts w:ascii="Open Sans" w:cs="Open Sans" w:eastAsia="Open Sans" w:hAnsi="Open Sans"/>
                <w:b/>
                <w:bCs/>
                <w:sz w:val="18"/>
                <w:szCs w:val="18"/>
              </w:rPr>
              <w:t xml:space="preserve">Does not cover: </w:t>
            </w:r>
            <w:r>
              <w:rPr>
                <w:rFonts w:ascii="Open Sans" w:cs="Open Sans" w:eastAsia="Open Sans" w:hAnsi="Open Sans"/>
                <w:i w:val="false"/>
                <w:iCs w:val="false"/>
                <w:sz w:val="18"/>
                <w:szCs w:val="18"/>
              </w:rPr>
              <w:t xml:space="preserve">deep security engineering, which is covered by NB5004CEM at the partner university; data-engineering depth, which is covered by Data Engineering and Pipelines.</w:t>
            </w:r>
          </w:p>
          <w:p>
            <w:pPr>
              <w:spacing w:after="40" w:before="40"/>
            </w:pPr>
            <w:r>
              <w:rPr>
                <w:rFonts w:ascii="Open Sans" w:cs="Open Sans" w:eastAsia="Open Sans" w:hAnsi="Open Sans"/>
                <w:b/>
                <w:bCs/>
                <w:sz w:val="18"/>
                <w:szCs w:val="18"/>
              </w:rPr>
              <w:t xml:space="preserve"/>
            </w:r>
            <w:r>
              <w:rPr>
                <w:rFonts w:ascii="Open Sans" w:cs="Open Sans" w:eastAsia="Open Sans" w:hAnsi="Open Sans"/>
                <w:i/>
                <w:iCs/>
                <w:sz w:val="18"/>
                <w:szCs w:val="18"/>
              </w:rPr>
              <w:t xml:space="preserve">Changes to this boundary are made only through the School’s formal change-control process, not by amendment of this descriptor.</w:t>
            </w:r>
          </w:p>
        </w:tc>
      </w:tr>
    </w:tbl>
    <w:p>
      <w:pPr>
        <w:spacing w:after="120" w:before="240"/>
      </w:pPr>
      <w:r>
        <w:rPr>
          <w:rFonts w:ascii="Open Sans" w:cs="Open Sans" w:eastAsia="Open Sans" w:hAnsi="Open Sans"/>
          <w:b/>
          <w:bCs/>
          <w:color w:val="000000"/>
          <w:sz w:val="24"/>
          <w:szCs w:val="24"/>
        </w:rPr>
        <w:t xml:space="preserve">3. Learning Outcomes</w:t>
      </w:r>
    </w:p>
    <w:p>
      <w:pPr>
        <w:spacing w:after="80" w:before="80"/>
      </w:pPr>
      <w:r>
        <w:rPr>
          <w:rFonts w:ascii="Open Sans" w:cs="Open Sans" w:eastAsia="Open Sans" w:hAnsi="Open Sans"/>
          <w:b w:val="false"/>
          <w:bCs w:val="false"/>
          <w:i w:val="false"/>
          <w:iCs w:val="false"/>
          <w:color w:val="000000"/>
          <w:sz w:val="20"/>
          <w:szCs w:val="20"/>
        </w:rPr>
        <w:t xml:space="preserve">On successful completion of this module, a student will be able to:</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700"/>
        <w:gridCol w:w="6100"/>
        <w:gridCol w:w="2200"/>
      </w:tblGrid>
      <w:tr>
        <w:trPr>
          <w:tblHeader/>
        </w:trPr>
        <w:tc>
          <w:tcPr>
            <w:tcW w:type="dxa" w:w="7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Ref</w:t>
            </w:r>
          </w:p>
        </w:tc>
        <w:tc>
          <w:tcPr>
            <w:tcW w:type="dxa" w:w="61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Intended learning outcome</w:t>
            </w:r>
          </w:p>
        </w:tc>
        <w:tc>
          <w:tcPr>
            <w:tcW w:type="dxa" w:w="22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Level of learning</w:t>
            </w:r>
          </w:p>
        </w:tc>
      </w:tr>
      <w:tr>
        <w:tc>
          <w:tcPr>
            <w:tcW w:type="dxa" w:w="7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LO1</w:t>
            </w:r>
          </w:p>
        </w:tc>
        <w:tc>
          <w:tcPr>
            <w:tcW w:type="dxa" w:w="61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Analyse the client-server model and the request-response cycle, and account for their consequences for how data and services are exposed over the web.</w:t>
            </w:r>
          </w:p>
        </w:tc>
        <w:tc>
          <w:tcPr>
            <w:tcW w:type="dxa" w:w="22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Analyse</w:t>
            </w:r>
          </w:p>
        </w:tc>
      </w:tr>
      <w:tr>
        <w:tc>
          <w:tcPr>
            <w:tcW w:type="dxa" w:w="7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LO2</w:t>
            </w:r>
          </w:p>
        </w:tc>
        <w:tc>
          <w:tcPr>
            <w:tcW w:type="dxa" w:w="61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Design and build RESTful application programming interfaces with an explicit contract.</w:t>
            </w:r>
          </w:p>
        </w:tc>
        <w:tc>
          <w:tcPr>
            <w:tcW w:type="dxa" w:w="22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Design</w:t>
            </w:r>
          </w:p>
        </w:tc>
      </w:tr>
      <w:tr>
        <w:tc>
          <w:tcPr>
            <w:tcW w:type="dxa" w:w="7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LO3</w:t>
            </w:r>
          </w:p>
        </w:tc>
        <w:tc>
          <w:tcPr>
            <w:tcW w:type="dxa" w:w="61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Serve data and models over an interface and deploy an interactive data application.</w:t>
            </w:r>
          </w:p>
        </w:tc>
        <w:tc>
          <w:tcPr>
            <w:tcW w:type="dxa" w:w="22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Apply</w:t>
            </w:r>
          </w:p>
        </w:tc>
      </w:tr>
    </w:tbl>
    <w:p>
      <w:pPr>
        <w:spacing w:after="120" w:before="240"/>
      </w:pPr>
      <w:r>
        <w:rPr>
          <w:rFonts w:ascii="Open Sans" w:cs="Open Sans" w:eastAsia="Open Sans" w:hAnsi="Open Sans"/>
          <w:b/>
          <w:bCs/>
          <w:color w:val="000000"/>
          <w:sz w:val="24"/>
          <w:szCs w:val="24"/>
        </w:rPr>
        <w:t xml:space="preserve">4. Curriculum and Delivery</w:t>
      </w:r>
    </w:p>
    <w:p>
      <w:pPr>
        <w:spacing w:after="80" w:before="80"/>
      </w:pPr>
      <w:r>
        <w:rPr>
          <w:rFonts w:ascii="Open Sans" w:cs="Open Sans" w:eastAsia="Open Sans" w:hAnsi="Open Sans"/>
          <w:b/>
          <w:bCs/>
          <w:i w:val="false"/>
          <w:iCs w:val="false"/>
          <w:color w:val="000000"/>
          <w:sz w:val="20"/>
          <w:szCs w:val="20"/>
        </w:rPr>
        <w:t xml:space="preserve">Indicative syllabus</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700"/>
        <w:gridCol w:w="6800"/>
        <w:gridCol w:w="1500"/>
      </w:tblGrid>
      <w:tr>
        <w:trPr>
          <w:tblHeader/>
        </w:trPr>
        <w:tc>
          <w:tcPr>
            <w:tcW w:type="dxa" w:w="7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Unit</w:t>
            </w:r>
          </w:p>
        </w:tc>
        <w:tc>
          <w:tcPr>
            <w:tcW w:type="dxa" w:w="68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Content</w:t>
            </w:r>
          </w:p>
        </w:tc>
        <w:tc>
          <w:tcPr>
            <w:tcW w:type="dxa" w:w="15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Lecture hours</w:t>
            </w:r>
          </w:p>
        </w:tc>
      </w:tr>
      <w:tr>
        <w:tc>
          <w:tcPr>
            <w:tcW w:type="dxa" w:w="7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U1</w:t>
            </w:r>
          </w:p>
        </w:tc>
        <w:tc>
          <w:tcPr>
            <w:tcW w:type="dxa" w:w="6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The web and the client-server model: the request-response cycle, methods, status codes and headers, statelessness and what it costs, and transport security at the level a builder needs</w:t>
            </w:r>
          </w:p>
        </w:tc>
        <w:tc>
          <w:tcPr>
            <w:tcW w:type="dxa" w:w="15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9</w:t>
            </w:r>
          </w:p>
        </w:tc>
      </w:tr>
      <w:tr>
        <w:tc>
          <w:tcPr>
            <w:tcW w:type="dxa" w:w="7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U2</w:t>
            </w:r>
          </w:p>
        </w:tc>
        <w:tc>
          <w:tcPr>
            <w:tcW w:type="dxa" w:w="68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Client-side foundations bounded to consumption: enough markup, styling and scripting to call an interface and render its result, and no more</w:t>
            </w:r>
          </w:p>
        </w:tc>
        <w:tc>
          <w:tcPr>
            <w:tcW w:type="dxa" w:w="15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6</w:t>
            </w:r>
          </w:p>
        </w:tc>
      </w:tr>
      <w:tr>
        <w:tc>
          <w:tcPr>
            <w:tcW w:type="dxa" w:w="7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U3</w:t>
            </w:r>
          </w:p>
        </w:tc>
        <w:tc>
          <w:tcPr>
            <w:tcW w:type="dxa" w:w="6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RESTful design as a discipline: resources and representations, uniform interface semantics, identifier design, versioning, and the error contract as part of the contract</w:t>
            </w:r>
          </w:p>
        </w:tc>
        <w:tc>
          <w:tcPr>
            <w:tcW w:type="dxa" w:w="15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12</w:t>
            </w:r>
          </w:p>
        </w:tc>
      </w:tr>
      <w:tr>
        <w:tc>
          <w:tcPr>
            <w:tcW w:type="dxa" w:w="7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U4</w:t>
            </w:r>
          </w:p>
        </w:tc>
        <w:tc>
          <w:tcPr>
            <w:tcW w:type="dxa" w:w="68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Building an interface: routing, request validation, serialisation, generated documentation, and testing an interface against its contract</w:t>
            </w:r>
          </w:p>
        </w:tc>
        <w:tc>
          <w:tcPr>
            <w:tcW w:type="dxa" w:w="15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9</w:t>
            </w:r>
          </w:p>
        </w:tc>
      </w:tr>
      <w:tr>
        <w:tc>
          <w:tcPr>
            <w:tcW w:type="dxa" w:w="7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U5</w:t>
            </w:r>
          </w:p>
        </w:tc>
        <w:tc>
          <w:tcPr>
            <w:tcW w:type="dxa" w:w="6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Serving data and models: exposing a trained model behind an endpoint, request and response shape, payload size and latency, and what a serving context demands of the model it serves</w:t>
            </w:r>
          </w:p>
        </w:tc>
        <w:tc>
          <w:tcPr>
            <w:tcW w:type="dxa" w:w="15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6</w:t>
            </w:r>
          </w:p>
        </w:tc>
      </w:tr>
      <w:tr>
        <w:tc>
          <w:tcPr>
            <w:tcW w:type="dxa" w:w="7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U6</w:t>
            </w:r>
          </w:p>
        </w:tc>
        <w:tc>
          <w:tcPr>
            <w:tcW w:type="dxa" w:w="68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Interactive data applications: assembling and deploying a data application, configuration and environment separation, and the deployment discipline</w:t>
            </w:r>
          </w:p>
        </w:tc>
        <w:tc>
          <w:tcPr>
            <w:tcW w:type="dxa" w:w="15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6</w:t>
            </w:r>
          </w:p>
        </w:tc>
      </w:tr>
      <w:tr>
        <w:tc>
          <w:tcPr>
            <w:tcW w:type="dxa" w:w="7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
            </w:r>
          </w:p>
        </w:tc>
        <w:tc>
          <w:tcPr>
            <w:tcW w:type="dxa" w:w="68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Total lecture hours</w:t>
            </w:r>
          </w:p>
        </w:tc>
        <w:tc>
          <w:tcPr>
            <w:tcW w:type="dxa" w:w="15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48</w:t>
            </w:r>
          </w:p>
        </w:tc>
      </w:tr>
    </w:tbl>
    <w:p>
      <w:pPr>
        <w:spacing w:after="80" w:before="80"/>
      </w:pPr>
      <w:r>
        <w:rPr>
          <w:rFonts w:ascii="Open Sans" w:cs="Open Sans" w:eastAsia="Open Sans" w:hAnsi="Open Sans"/>
          <w:b w:val="false"/>
          <w:bCs w:val="false"/>
          <w:i w:val="false"/>
          <w:iCs w:val="false"/>
          <w:color w:val="000000"/>
          <w:sz w:val="20"/>
          <w:szCs w:val="20"/>
        </w:rPr>
        <w:t xml:space="preserve">Session note: the 48 lecture hours are delivered as 16 sessions of 3 hours, with unit allocations in multiples of 3 so that unit boundaries fall on session boundaries. Unit 3 carries the largest allocation because interface design is the transferable competence here; frameworks change and contracts do not.</w:t>
      </w:r>
    </w:p>
    <w:p>
      <w:pPr>
        <w:spacing w:after="80" w:before="80"/>
      </w:pPr>
      <w:r>
        <w:rPr>
          <w:rFonts w:ascii="Open Sans" w:cs="Open Sans" w:eastAsia="Open Sans" w:hAnsi="Open Sans"/>
          <w:b w:val="false"/>
          <w:bCs w:val="false"/>
          <w:i w:val="false"/>
          <w:iCs w:val="false"/>
          <w:color w:val="000000"/>
          <w:sz w:val="20"/>
          <w:szCs w:val="20"/>
        </w:rPr>
        <w:t xml:space="preserve">Allocation cost, named: unit 2 receives two sessions and is explicitly capped. This is the compression point described in the aims. Students leave able to consume an interface from a browser and not able to build a front end, and this is stated plainly rather than implying a competence the hours cannot deliver.</w:t>
      </w:r>
    </w:p>
    <w:p>
      <w:pPr>
        <w:spacing w:after="80" w:before="80"/>
      </w:pPr>
      <w:r>
        <w:rPr>
          <w:rFonts w:ascii="Open Sans" w:cs="Open Sans" w:eastAsia="Open Sans" w:hAnsi="Open Sans"/>
          <w:b w:val="false"/>
          <w:bCs w:val="false"/>
          <w:i w:val="false"/>
          <w:iCs w:val="false"/>
          <w:color w:val="000000"/>
          <w:sz w:val="20"/>
          <w:szCs w:val="20"/>
        </w:rPr>
        <w:t xml:space="preserve">Working-language note: Python throughout for the server side, with the framework selected at specification stage. Client-side work in unit 2 uses standard browser technologies at consumption level only. The module teaches interface design and serving; the framework is the vehicle.</w:t>
      </w:r>
    </w:p>
    <w:p>
      <w:pPr>
        <w:spacing w:after="80" w:before="80"/>
      </w:pPr>
      <w:r>
        <w:rPr>
          <w:rFonts w:ascii="Open Sans" w:cs="Open Sans" w:eastAsia="Open Sans" w:hAnsi="Open Sans"/>
          <w:b w:val="false"/>
          <w:bCs w:val="false"/>
          <w:i w:val="false"/>
          <w:iCs w:val="false"/>
          <w:color w:val="000000"/>
          <w:sz w:val="20"/>
          <w:szCs w:val="20"/>
        </w:rPr>
        <w:t xml:space="preserve">Delivery note: unit 6 requires a deployment target that students can reach and use. Whether that is institutional hosting or a managed service is a specification-stage and resourcing decision, but the outcome depends on it: without a real deployment, LO3 reduces to a local demonstration and the word deploy in the outcome is not honestly earned.</w:t>
      </w:r>
    </w:p>
    <w:p>
      <w:pPr>
        <w:spacing w:after="80" w:before="160"/>
      </w:pPr>
      <w:r>
        <w:rPr>
          <w:rFonts w:ascii="Open Sans" w:cs="Open Sans" w:eastAsia="Open Sans" w:hAnsi="Open Sans"/>
          <w:b/>
          <w:bCs/>
          <w:i w:val="false"/>
          <w:iCs w:val="false"/>
          <w:color w:val="000000"/>
          <w:sz w:val="20"/>
          <w:szCs w:val="20"/>
        </w:rPr>
        <w:t xml:space="preserve">Teaching and learning hours</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6600"/>
        <w:gridCol w:w="2400"/>
      </w:tblGrid>
      <w:tr>
        <w:trPr>
          <w:tblHeader/>
        </w:trPr>
        <w:tc>
          <w:tcPr>
            <w:tcW w:type="dxa" w:w="6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Component</w:t>
            </w:r>
          </w:p>
        </w:tc>
        <w:tc>
          <w:tcPr>
            <w:tcW w:type="dxa" w:w="24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Hours</w:t>
            </w:r>
          </w:p>
        </w:tc>
      </w:tr>
      <w:tr>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Lectures</w:t>
            </w:r>
          </w:p>
        </w:tc>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48</w:t>
            </w:r>
          </w:p>
        </w:tc>
      </w:tr>
      <w:tr>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Tutorials</w:t>
            </w:r>
          </w:p>
        </w:tc>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12</w:t>
            </w:r>
          </w:p>
        </w:tc>
      </w:tr>
      <w:tr>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Practicals and laboratory</w:t>
            </w:r>
          </w:p>
        </w:tc>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24</w:t>
            </w:r>
          </w:p>
        </w:tc>
      </w:tr>
      <w:tr>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In-class assignments</w:t>
            </w:r>
          </w:p>
        </w:tc>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9</w:t>
            </w:r>
          </w:p>
        </w:tc>
      </w:tr>
      <w:tr>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Demonstration</w:t>
            </w:r>
          </w:p>
        </w:tc>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3</w:t>
            </w:r>
          </w:p>
        </w:tc>
      </w:tr>
      <w:tr>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Self-guided study</w:t>
            </w:r>
          </w:p>
        </w:tc>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54</w:t>
            </w:r>
          </w:p>
        </w:tc>
      </w:tr>
      <w:tr>
        <w:tc>
          <w:tcPr>
            <w:tcW w:type="dxa" w:w="66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Total notional hours</w:t>
            </w:r>
          </w:p>
        </w:tc>
        <w:tc>
          <w:tcPr>
            <w:tcW w:type="dxa" w:w="24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150</w:t>
            </w:r>
          </w:p>
        </w:tc>
      </w:tr>
    </w:tbl>
    <w:p>
      <w:pPr>
        <w:spacing w:after="120" w:before="240"/>
      </w:pPr>
      <w:r>
        <w:rPr>
          <w:rFonts w:ascii="Open Sans" w:cs="Open Sans" w:eastAsia="Open Sans" w:hAnsi="Open Sans"/>
          <w:b/>
          <w:bCs/>
          <w:color w:val="000000"/>
          <w:sz w:val="24"/>
          <w:szCs w:val="24"/>
        </w:rPr>
        <w:t xml:space="preserve">5. Assessment</w:t>
      </w:r>
    </w:p>
    <w:p>
      <w:pPr>
        <w:spacing w:after="80" w:before="80"/>
      </w:pPr>
      <w:r>
        <w:rPr>
          <w:rFonts w:ascii="Open Sans" w:cs="Open Sans" w:eastAsia="Open Sans" w:hAnsi="Open Sans"/>
          <w:b w:val="false"/>
          <w:bCs w:val="false"/>
          <w:i w:val="false"/>
          <w:iCs w:val="false"/>
          <w:color w:val="000000"/>
          <w:sz w:val="20"/>
          <w:szCs w:val="20"/>
        </w:rPr>
        <w:t xml:space="preserve">Weightings are stated below and are confirmed at specification sign-off.</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1500"/>
        <w:gridCol w:w="3600"/>
        <w:gridCol w:w="2200"/>
        <w:gridCol w:w="900"/>
        <w:gridCol w:w="800"/>
      </w:tblGrid>
      <w:tr>
        <w:trPr>
          <w:tblHeader/>
        </w:trPr>
        <w:tc>
          <w:tcPr>
            <w:tcW w:type="dxa" w:w="15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Component</w:t>
            </w:r>
          </w:p>
        </w:tc>
        <w:tc>
          <w:tcPr>
            <w:tcW w:type="dxa" w:w="3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Task</w:t>
            </w:r>
          </w:p>
        </w:tc>
        <w:tc>
          <w:tcPr>
            <w:tcW w:type="dxa" w:w="22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Conditions</w:t>
            </w:r>
          </w:p>
        </w:tc>
        <w:tc>
          <w:tcPr>
            <w:tcW w:type="dxa" w:w="9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Outcomes</w:t>
            </w:r>
          </w:p>
        </w:tc>
        <w:tc>
          <w:tcPr>
            <w:tcW w:type="dxa" w:w="8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Weight</w:t>
            </w:r>
          </w:p>
        </w:tc>
      </w:tr>
      <w:tr>
        <w:tc>
          <w:tcPr>
            <w:tcW w:type="dxa" w:w="15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Coursework</w:t>
            </w:r>
          </w:p>
        </w:tc>
        <w:tc>
          <w:tcPr>
            <w:tcW w:type="dxa" w:w="3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Build brief: design and build a RESTful interface that serves a supplied trained model and an accompanying dataset, publish its contract as documentation, and deploy an interactive data application that consumes it. The accompanying report accounts for the design decisions, including where statelessness, payload shape or versioning constrained them. Approximately 1,800 words plus repository and deployment evidence</w:t>
            </w:r>
          </w:p>
        </w:tc>
        <w:tc>
          <w:tcPr>
            <w:tcW w:type="dxa" w:w="22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Individual; take-home; graded; Viva/Presentation: presentation of 15 minutes at demonstration, exercising the deployed interface live and defending the contract</w:t>
            </w:r>
          </w:p>
        </w:tc>
        <w:tc>
          <w:tcPr>
            <w:tcW w:type="dxa" w:w="9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LO1 to LO3</w:t>
            </w:r>
          </w:p>
        </w:tc>
        <w:tc>
          <w:tcPr>
            <w:tcW w:type="dxa" w:w="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60%</w:t>
            </w:r>
          </w:p>
        </w:tc>
      </w:tr>
      <w:tr>
        <w:tc>
          <w:tcPr>
            <w:tcW w:type="dxa" w:w="15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Practical</w:t>
            </w:r>
          </w:p>
        </w:tc>
        <w:tc>
          <w:tcPr>
            <w:tcW w:type="dxa" w:w="3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Supervised laboratory assessment: extend a supplied interface with a new endpoint to a stated contract, diagnose and correct a seeded contract fault in an existing endpoint, and demonstrate both within a fixed session</w:t>
            </w:r>
          </w:p>
        </w:tc>
        <w:tc>
          <w:tcPr>
            <w:tcW w:type="dxa" w:w="22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Individual; supervised; graded</w:t>
            </w:r>
          </w:p>
        </w:tc>
        <w:tc>
          <w:tcPr>
            <w:tcW w:type="dxa" w:w="9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LO2, LO3</w:t>
            </w:r>
          </w:p>
        </w:tc>
        <w:tc>
          <w:tcPr>
            <w:tcW w:type="dxa" w:w="8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40%</w:t>
            </w:r>
          </w:p>
        </w:tc>
      </w:tr>
    </w:tbl>
    <w:p>
      <w:pPr>
        <w:spacing w:after="80" w:before="80"/>
      </w:pPr>
      <w:r>
        <w:rPr>
          <w:rFonts w:ascii="Open Sans" w:cs="Open Sans" w:eastAsia="Open Sans" w:hAnsi="Open Sans"/>
          <w:b w:val="false"/>
          <w:bCs w:val="false"/>
          <w:i w:val="false"/>
          <w:iCs w:val="false"/>
          <w:color w:val="000000"/>
          <w:sz w:val="20"/>
          <w:szCs w:val="20"/>
        </w:rPr>
        <w:t xml:space="preserve">No examination is carried by design. The capability certified here is a built and working interface, which an unseen written paper cannot evidence. The supervised laboratory assessment supplies the constrained individual evidence, and the seeded contract fault tests whether the student can read an interface against its contract rather than only write one.</w:t>
      </w:r>
    </w:p>
    <w:p>
      <w:pPr>
        <w:spacing w:after="80" w:before="80"/>
      </w:pPr>
      <w:r>
        <w:rPr>
          <w:rFonts w:ascii="Open Sans" w:cs="Open Sans" w:eastAsia="Open Sans" w:hAnsi="Open Sans"/>
          <w:b w:val="false"/>
          <w:bCs w:val="false"/>
          <w:i w:val="false"/>
          <w:iCs w:val="false"/>
          <w:color w:val="000000"/>
          <w:sz w:val="20"/>
          <w:szCs w:val="20"/>
        </w:rPr>
        <w:t xml:space="preserve">Reassessment is by failed component. Interface scaffolding is exactly the kind of code that generative tools produce fluently, so the declaration requirement is strict and the assessment weight sits deliberately on the design account and the live demonstration rather than on code volume. A student who cannot exercise and explain their own deployed interface cannot pass the component.</w:t>
      </w:r>
    </w:p>
    <w:p>
      <w:pPr>
        <w:spacing w:after="120" w:before="240"/>
      </w:pPr>
      <w:r>
        <w:rPr>
          <w:rFonts w:ascii="Open Sans" w:cs="Open Sans" w:eastAsia="Open Sans" w:hAnsi="Open Sans"/>
          <w:b/>
          <w:bCs/>
          <w:color w:val="000000"/>
          <w:sz w:val="24"/>
          <w:szCs w:val="24"/>
        </w:rPr>
        <w:t xml:space="preserve">6. Resources, Staff and Governance</w:t>
      </w:r>
    </w:p>
    <w:p>
      <w:pPr>
        <w:spacing w:after="80" w:before="80"/>
      </w:pPr>
      <w:r>
        <w:rPr>
          <w:rFonts w:ascii="Open Sans" w:cs="Open Sans" w:eastAsia="Open Sans" w:hAnsi="Open Sans"/>
          <w:b/>
          <w:bCs/>
          <w:i w:val="false"/>
          <w:iCs w:val="false"/>
          <w:color w:val="000000"/>
          <w:sz w:val="20"/>
          <w:szCs w:val="20"/>
        </w:rPr>
        <w:t xml:space="preserve">Indicative reading</w:t>
      </w:r>
    </w:p>
    <w:p>
      <w:pPr>
        <w:spacing w:after="60" w:before="60"/>
        <w:ind w:left="300" w:hanging="300"/>
      </w:pPr>
      <w:r>
        <w:rPr>
          <w:rFonts w:ascii="Open Sans" w:cs="Open Sans" w:eastAsia="Open Sans" w:hAnsi="Open Sans"/>
          <w:b/>
          <w:bCs/>
          <w:sz w:val="18"/>
          <w:szCs w:val="18"/>
        </w:rPr>
        <w:t xml:space="preserve">Core</w:t>
      </w:r>
      <w:r>
        <w:rPr>
          <w:rFonts w:ascii="Open Sans" w:cs="Open Sans" w:eastAsia="Open Sans" w:hAnsi="Open Sans"/>
          <w:sz w:val="18"/>
          <w:szCs w:val="18"/>
        </w:rPr>
        <w:t xml:space="preserve"/>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Richardson, L., Amundsen, M. and Ruby, S. (2013) RESTful Web APIs: Services for a Changing World. O’Reilly Media. ISBN 978-1-4493-5806-8. Primary text for unit 3, and the reason the module can teach design rather than tooling. Dependency: the text predates current framework practice and its hypermedia chapters go beyond this module’s scope; it is set for the design discipline, resource modelling and contract thinking, which have not dated.</w:t>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Grinberg, M. (2018) Flask Web Development: Developing Web Applications with Python. 2nd edition. O’Reilly Media. Text for units 4 and 6 if the framework selected at specification stage is Flask. Dependency: tied to a specific framework and to a 2018 release of it; the framework’s own current documentation is the operative reference for version-specific detail, and this book is set for structure and application organisation rather than for interface specifics.</w:t>
      </w:r>
    </w:p>
    <w:p>
      <w:pPr>
        <w:spacing w:after="60" w:before="60"/>
        <w:ind w:left="300" w:hanging="300"/>
      </w:pPr>
      <w:r>
        <w:rPr>
          <w:rFonts w:ascii="Open Sans" w:cs="Open Sans" w:eastAsia="Open Sans" w:hAnsi="Open Sans"/>
          <w:b/>
          <w:bCs/>
          <w:sz w:val="18"/>
          <w:szCs w:val="18"/>
        </w:rPr>
        <w:t xml:space="preserve">Supplementary</w:t>
      </w:r>
      <w:r>
        <w:rPr>
          <w:rFonts w:ascii="Open Sans" w:cs="Open Sans" w:eastAsia="Open Sans" w:hAnsi="Open Sans"/>
          <w:sz w:val="18"/>
          <w:szCs w:val="18"/>
        </w:rPr>
        <w:t xml:space="preserve"/>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Reis, J. and Housley, M. (2022) Fundamentals of Data Engineering: Plan and Build Robust Data Systems. O’Reilly Media. Carried across from Data Engineering and Pipelines and used only for the serving-and-consumption framing in unit 5.</w:t>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Official documentation for the framework selected at specification stage, and the OpenAPI specification for the contract documentation work in unit 4. Dependency: these are living references rather than fixed editions, cited with an access date, and they are the operative source where a textbook and current practice disagree.</w:t>
      </w:r>
    </w:p>
    <w:p>
      <w:pPr>
        <w:spacing w:after="60" w:before="60"/>
        <w:ind w:left="300" w:hanging="300"/>
      </w:pPr>
      <w:r>
        <w:rPr>
          <w:rFonts w:ascii="Open Sans" w:cs="Open Sans" w:eastAsia="Open Sans" w:hAnsi="Open Sans"/>
          <w:b/>
          <w:bCs/>
          <w:sz w:val="18"/>
          <w:szCs w:val="18"/>
        </w:rPr>
        <w:t xml:space="preserve">School-produced</w:t>
      </w:r>
      <w:r>
        <w:rPr>
          <w:rFonts w:ascii="Open Sans" w:cs="Open Sans" w:eastAsia="Open Sans" w:hAnsi="Open Sans"/>
          <w:sz w:val="18"/>
          <w:szCs w:val="18"/>
        </w:rPr>
        <w:t xml:space="preserve"/>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A packaged trained model with a documented input contract for the build brief, an interface scaffold with seeded contract faults for the laboratory assessment, and a deployment walkthrough for the selected target. Confirmed at teaching-plan stage.</w:t>
      </w:r>
    </w:p>
    <w:p>
      <w:pPr>
        <w:spacing w:after="80" w:before="200"/>
      </w:pPr>
      <w:r>
        <w:rPr>
          <w:rFonts w:ascii="Open Sans" w:cs="Open Sans" w:eastAsia="Open Sans" w:hAnsi="Open Sans"/>
          <w:b/>
          <w:bCs/>
          <w:i w:val="false"/>
          <w:iCs w:val="false"/>
          <w:color w:val="000000"/>
          <w:sz w:val="20"/>
          <w:szCs w:val="20"/>
        </w:rPr>
        <w:t xml:space="preserve">Staffing</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3000"/>
        <w:gridCol w:w="3000"/>
        <w:gridCol w:w="3000"/>
      </w:tblGrid>
      <w:tr>
        <w:trPr>
          <w:tblHeader/>
        </w:trPr>
        <w:tc>
          <w:tcPr>
            <w:tcW w:type="dxa" w:w="30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Role</w:t>
            </w:r>
          </w:p>
        </w:tc>
        <w:tc>
          <w:tcPr>
            <w:tcW w:type="dxa" w:w="30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Name</w:t>
            </w:r>
          </w:p>
        </w:tc>
        <w:tc>
          <w:tcPr>
            <w:tcW w:type="dxa" w:w="30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Domain credential</w:t>
            </w:r>
          </w:p>
        </w:tc>
      </w:tr>
      <w:tr>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Module leader 1</w:t>
            </w:r>
          </w:p>
        </w:tc>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r>
      <w:tr>
        <w:tc>
          <w:tcPr>
            <w:tcW w:type="dxa" w:w="30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Module leader 2</w:t>
            </w:r>
          </w:p>
        </w:tc>
        <w:tc>
          <w:tcPr>
            <w:tcW w:type="dxa" w:w="30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c>
          <w:tcPr>
            <w:tcW w:type="dxa" w:w="30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r>
      <w:tr>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External module auditor</w:t>
            </w:r>
          </w:p>
        </w:tc>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r>
    </w:tbl>
    <w:p>
      <w:pPr>
        <w:spacing w:after="80" w:before="140"/>
      </w:pPr>
      <w:r>
        <w:rPr>
          <w:rFonts w:ascii="Open Sans" w:cs="Open Sans" w:eastAsia="Open Sans" w:hAnsi="Open Sans"/>
          <w:b w:val="false"/>
          <w:bCs w:val="false"/>
          <w:i w:val="false"/>
          <w:iCs w:val="false"/>
          <w:color w:val="000000"/>
          <w:sz w:val="20"/>
          <w:szCs w:val="20"/>
        </w:rPr>
        <w:t xml:space="preserve">Domain-expertise statement: delivery requires current web and interface development expertise, including practical deployment experience. The specific delivery risk is the compression described above: a leader without deployment practice will let unit 6 collapse into a local demonstration, at which point the module stops serving the destination modules that assume students have actually shipped something.</w:t>
      </w:r>
    </w:p>
    <w:p>
      <w:pPr>
        <w:spacing w:after="80" w:before="200"/>
      </w:pPr>
      <w:r>
        <w:rPr>
          <w:rFonts w:ascii="Open Sans" w:cs="Open Sans" w:eastAsia="Open Sans" w:hAnsi="Open Sans"/>
          <w:b/>
          <w:bCs/>
          <w:i w:val="false"/>
          <w:iCs w:val="false"/>
          <w:color w:val="000000"/>
          <w:sz w:val="20"/>
          <w:szCs w:val="20"/>
        </w:rPr>
        <w:t xml:space="preserve">Sign-off</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1800"/>
        <w:gridCol w:w="2600"/>
        <w:gridCol w:w="4600"/>
      </w:tblGrid>
      <w:tr>
        <w:trPr>
          <w:tblHeader/>
        </w:trPr>
        <w:tc>
          <w:tcPr>
            <w:tcW w:type="dxa" w:w="18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Version</w:t>
            </w:r>
          </w:p>
        </w:tc>
        <w:tc>
          <w:tcPr>
            <w:tcW w:type="dxa" w:w="2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Date</w:t>
            </w:r>
          </w:p>
        </w:tc>
        <w:tc>
          <w:tcPr>
            <w:tcW w:type="dxa" w:w="4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Status</w:t>
            </w:r>
          </w:p>
        </w:tc>
      </w:tr>
      <w:tr>
        <w:tc>
          <w:tcPr>
            <w:tcW w:type="dxa" w:w="1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1.0</w:t>
            </w:r>
          </w:p>
        </w:tc>
        <w:tc>
          <w:tcPr>
            <w:tcW w:type="dxa" w:w="2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22 July 2026</w:t>
            </w:r>
          </w:p>
        </w:tc>
        <w:tc>
          <w:tcPr>
            <w:tcW w:type="dxa" w:w="4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Issued for review</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2026-07-22T03:16:30.997Z</dcterms:created>
  <dcterms:modified xsi:type="dcterms:W3CDTF">2026-07-22T03:16:30.997Z</dcterms:modified>
</cp:coreProperties>
</file>

<file path=docProps/custom.xml><?xml version="1.0" encoding="utf-8"?>
<Properties xmlns="http://schemas.openxmlformats.org/officeDocument/2006/custom-properties" xmlns:vt="http://schemas.openxmlformats.org/officeDocument/2006/docPropsVTypes"/>
</file>