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Open Sans" w:cs="Open Sans" w:eastAsia="Open Sans" w:hAnsi="Open Sans"/>
          <w:b/>
          <w:bCs/>
          <w:color w:val="000000"/>
          <w:sz w:val="30"/>
          <w:szCs w:val="30"/>
        </w:rPr>
        <w:t xml:space="preserve">Module Descriptor</w:t>
      </w:r>
    </w:p>
    <w:p>
      <w:pPr>
        <w:pBdr>
          <w:bottom w:val="single" w:color="595959" w:sz="8" w:space="6"/>
        </w:pBdr>
        <w:spacing w:after="200" w:before="0"/>
      </w:pPr>
      <w:r>
        <w:rPr>
          <w:rFonts w:ascii="Open Sans" w:cs="Open Sans" w:eastAsia="Open Sans" w:hAnsi="Open Sans"/>
          <w:b/>
          <w:bCs/>
          <w:color w:val="595959"/>
          <w:sz w:val="34"/>
          <w:szCs w:val="34"/>
        </w:rPr>
        <w:t xml:space="preserve">Data Visualisation and Insight</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600"/>
      </w:tblGrid>
      <w:tr>
        <w:trPr>
          <w:tblHeader/>
        </w:trPr>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Field</w:t>
            </w:r>
          </w:p>
        </w:tc>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Value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code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NB-SOCE-L4-AD-TT-07</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Category</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Pathway module, taught</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Programme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BSc Computer Science with Artificial Intelligence and Data Science</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Status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Draft for review, version 1.0</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Date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22 July 2026</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Sources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School curriculum decision records; Sri Lanka Qualifications Framework (September 2015 edition, University Grants Commission); partner university module descriptors</w:t>
            </w:r>
          </w:p>
        </w:tc>
      </w:tr>
    </w:tbl>
    <w:p>
      <w:pPr>
        <w:spacing w:after="120" w:before="240"/>
      </w:pPr>
      <w:r>
        <w:rPr>
          <w:rFonts w:ascii="Open Sans" w:cs="Open Sans" w:eastAsia="Open Sans" w:hAnsi="Open Sans"/>
          <w:b/>
          <w:bCs/>
          <w:color w:val="000000"/>
          <w:sz w:val="24"/>
          <w:szCs w:val="24"/>
        </w:rPr>
        <w:t xml:space="preserve">1. Module Identity and Architecture</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600"/>
      </w:tblGrid>
      <w:tr>
        <w:trPr>
          <w:tblHeader/>
        </w:trPr>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Field</w:t>
            </w:r>
          </w:p>
        </w:tc>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Value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title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Data Visualisation and Insight</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SLQF level and credits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Level 4 (Year 2); 2 credits; 100 notional hours</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Feeder targets</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NB6024CEM Data Visualisation, on the Data Science destination, supplied with the visual-design, perception and storytelling foundations. The destination requirement is jointly served: this module carries the visual strand and Time Series and Forecasting carries the temporal strand.</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Prerequisites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Applied Data Exploration, for data handling and introductory visualisation.</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Delivery mode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Session-based delivery in 3-hour blocks; 10 lecture sessions plus tutorials, practicals and demonstration</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Progression role</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Year 2 pathway module; not a bridging module.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Exit-award relevance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Data-communication competency in the pathway profile at Higher National Diploma level. Exit-award requirements remain subject to change and additional requirements may be introduced by the accrediting authority; the specification remains adaptable.</w:t>
            </w:r>
          </w:p>
        </w:tc>
      </w:tr>
    </w:tbl>
    <w:p>
      <w:pPr>
        <w:spacing w:after="120" w:before="240"/>
      </w:pPr>
      <w:r>
        <w:rPr>
          <w:rFonts w:ascii="Open Sans" w:cs="Open Sans" w:eastAsia="Open Sans" w:hAnsi="Open Sans"/>
          <w:b/>
          <w:bCs/>
          <w:color w:val="000000"/>
          <w:sz w:val="24"/>
          <w:szCs w:val="24"/>
        </w:rPr>
        <w:t xml:space="preserve">2. Module Purpose and Aims</w:t>
      </w:r>
    </w:p>
    <w:p>
      <w:pPr>
        <w:spacing w:after="80" w:before="80"/>
      </w:pPr>
      <w:r>
        <w:rPr>
          <w:rFonts w:ascii="Open Sans" w:cs="Open Sans" w:eastAsia="Open Sans" w:hAnsi="Open Sans"/>
          <w:b w:val="false"/>
          <w:bCs w:val="false"/>
          <w:i w:val="false"/>
          <w:iCs w:val="false"/>
          <w:color w:val="000000"/>
          <w:sz w:val="20"/>
          <w:szCs w:val="20"/>
        </w:rPr>
        <w:t xml:space="preserve">This module treats visualisation as a design discipline grounded in how human perception actually works, not as a tour of chart types. Students learn why some encodings are read accurately and others are not, how a visualisation carries an argument, and how to judge whether a given visualisation answers the question it claims to answer, including their own.</w:t>
      </w:r>
    </w:p>
    <w:p>
      <w:pPr>
        <w:spacing w:after="80" w:before="80"/>
      </w:pPr>
      <w:r>
        <w:rPr>
          <w:rFonts w:ascii="Open Sans" w:cs="Open Sans" w:eastAsia="Open Sans" w:hAnsi="Open Sans"/>
          <w:b w:val="false"/>
          <w:bCs w:val="false"/>
          <w:i w:val="false"/>
          <w:iCs w:val="false"/>
          <w:color w:val="000000"/>
          <w:sz w:val="20"/>
          <w:szCs w:val="20"/>
        </w:rPr>
        <w:t xml:space="preserve">Its scale is stated honestly. At 2 credits and 10 lecture sessions this is the smallest pathway module in the set, sized so that the programme could carry a separate module for the temporal half of the same destination requirement. The design response is to protect depth on perception and critique, which nothing else in the programme teaches, and to keep tool coverage deliberately shallow because students arrive already able to produce a chart.</w:t>
      </w:r>
    </w:p>
    <w:p>
      <w:pPr>
        <w:spacing w:after="80" w:before="80"/>
      </w:pPr>
      <w:r>
        <w:rPr>
          <w:rFonts w:ascii="Open Sans" w:cs="Open Sans" w:eastAsia="Open Sans" w:hAnsi="Open Sans"/>
          <w:b w:val="false"/>
          <w:bCs w:val="false"/>
          <w:i w:val="false"/>
          <w:iCs w:val="false"/>
          <w:color w:val="000000"/>
          <w:sz w:val="20"/>
          <w:szCs w:val="20"/>
        </w:rPr>
        <w:t xml:space="preserve">The scope limits are two. Statistical modelling belongs to Statistical Methods and Analysis, so a visualisation here presents structure rather than inferring it. Time-series and forecasting content, including the temporal visualisation of modelled series, belongs to Time Series and Forecasting, and that exclusion is stricter than it first appears: a student may plot an ordered series here as data, but the presentation of a fitted model and its forecast is the other module’s outcome.</w:t>
      </w:r>
    </w:p>
    <w:p>
      <w:pPr>
        <w:spacing w:after="80" w:before="160"/>
      </w:pPr>
      <w:r>
        <w:rPr>
          <w:rFonts w:ascii="Open Sans" w:cs="Open Sans" w:eastAsia="Open Sans" w:hAnsi="Open Sans"/>
          <w:b/>
          <w:bCs/>
          <w:i w:val="false"/>
          <w:iCs w:val="false"/>
          <w:color w:val="000000"/>
          <w:sz w:val="20"/>
          <w:szCs w:val="20"/>
        </w:rPr>
        <w:t xml:space="preserve">Specification boundary</w:t>
      </w:r>
    </w:p>
    <w:tbl>
      <w:tblPr>
        <w:tblW w:type="dxa" w:w="9000"/>
        <w:tblBorders>
          <w:top w:val="none" w:color="FFFFFF" w:sz="0"/>
          <w:left w:val="single" w:color="595959" w:sz="18"/>
          <w:bottom w:val="none" w:color="FFFFFF" w:sz="0"/>
          <w:right w:val="none" w:color="FFFFFF" w:sz="0"/>
          <w:insideH w:val="none" w:color="FFFFFF" w:sz="0"/>
          <w:insideV w:val="none" w:color="FFFFFF" w:sz="0"/>
        </w:tblBorders>
      </w:tblPr>
      <w:tblGrid>
        <w:gridCol w:w="9000"/>
      </w:tblGrid>
      <w:tr>
        <w:tc>
          <w:tcPr>
            <w:tcW w:type="dxa" w:w="9000"/>
            <w:shd w:fill="F7F7F7" w:color="auto" w:val="clear"/>
            <w:tcMar>
              <w:top w:type="dxa" w:w="140"/>
              <w:left w:type="dxa" w:w="200"/>
              <w:bottom w:type="dxa" w:w="140"/>
              <w:right w:type="dxa" w:w="160"/>
            </w:tcMar>
          </w:tcPr>
          <w:p>
            <w:pPr>
              <w:spacing w:after="40" w:before="40"/>
            </w:pPr>
            <w:r>
              <w:rPr>
                <w:rFonts w:ascii="Open Sans" w:cs="Open Sans" w:eastAsia="Open Sans" w:hAnsi="Open Sans"/>
                <w:b/>
                <w:bCs/>
                <w:sz w:val="18"/>
                <w:szCs w:val="18"/>
              </w:rPr>
              <w:t xml:space="preserve">Covers: </w:t>
            </w:r>
            <w:r>
              <w:rPr>
                <w:rFonts w:ascii="Open Sans" w:cs="Open Sans" w:eastAsia="Open Sans" w:hAnsi="Open Sans"/>
                <w:i w:val="false"/>
                <w:iCs w:val="false"/>
                <w:sz w:val="18"/>
                <w:szCs w:val="18"/>
              </w:rPr>
              <w:t xml:space="preserve">visual-design principles; human perception; data storytelling; visualisation tools.</w:t>
            </w:r>
          </w:p>
          <w:p>
            <w:pPr>
              <w:spacing w:after="40" w:before="40"/>
            </w:pPr>
            <w:r>
              <w:rPr>
                <w:rFonts w:ascii="Open Sans" w:cs="Open Sans" w:eastAsia="Open Sans" w:hAnsi="Open Sans"/>
                <w:b/>
                <w:bCs/>
                <w:sz w:val="18"/>
                <w:szCs w:val="18"/>
              </w:rPr>
              <w:t xml:space="preserve">Does not cover: </w:t>
            </w:r>
            <w:r>
              <w:rPr>
                <w:rFonts w:ascii="Open Sans" w:cs="Open Sans" w:eastAsia="Open Sans" w:hAnsi="Open Sans"/>
                <w:i w:val="false"/>
                <w:iCs w:val="false"/>
                <w:sz w:val="18"/>
                <w:szCs w:val="18"/>
              </w:rPr>
              <w:t xml:space="preserve">time-series and forecasting content, including the temporal visualisation of modelled series, which is covered by Time Series and Forecasting; statistical modelling, which is covered by Statistical Methods and Analysis.</w:t>
            </w:r>
          </w:p>
          <w:p>
            <w:pPr>
              <w:spacing w:after="40" w:before="40"/>
            </w:pPr>
            <w:r>
              <w:rPr>
                <w:rFonts w:ascii="Open Sans" w:cs="Open Sans" w:eastAsia="Open Sans" w:hAnsi="Open Sans"/>
                <w:b/>
                <w:bCs/>
                <w:sz w:val="18"/>
                <w:szCs w:val="18"/>
              </w:rPr>
              <w:t xml:space="preserve"/>
            </w:r>
            <w:r>
              <w:rPr>
                <w:rFonts w:ascii="Open Sans" w:cs="Open Sans" w:eastAsia="Open Sans" w:hAnsi="Open Sans"/>
                <w:i/>
                <w:iCs/>
                <w:sz w:val="18"/>
                <w:szCs w:val="18"/>
              </w:rPr>
              <w:t xml:space="preserve">Changes to this boundary are made only through the School’s formal change-control process, not by amendment of this descriptor.</w:t>
            </w:r>
          </w:p>
        </w:tc>
      </w:tr>
    </w:tbl>
    <w:p>
      <w:pPr>
        <w:spacing w:after="120" w:before="240"/>
      </w:pPr>
      <w:r>
        <w:rPr>
          <w:rFonts w:ascii="Open Sans" w:cs="Open Sans" w:eastAsia="Open Sans" w:hAnsi="Open Sans"/>
          <w:b/>
          <w:bCs/>
          <w:color w:val="000000"/>
          <w:sz w:val="24"/>
          <w:szCs w:val="24"/>
        </w:rPr>
        <w:t xml:space="preserve">3. Learning Outcomes</w:t>
      </w:r>
    </w:p>
    <w:p>
      <w:pPr>
        <w:spacing w:after="80" w:before="80"/>
      </w:pPr>
      <w:r>
        <w:rPr>
          <w:rFonts w:ascii="Open Sans" w:cs="Open Sans" w:eastAsia="Open Sans" w:hAnsi="Open Sans"/>
          <w:b w:val="false"/>
          <w:bCs w:val="false"/>
          <w:i w:val="false"/>
          <w:iCs w:val="false"/>
          <w:color w:val="000000"/>
          <w:sz w:val="20"/>
          <w:szCs w:val="20"/>
        </w:rPr>
        <w:t xml:space="preserve">On successful completion of this module, a student will be able to:</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6100"/>
        <w:gridCol w:w="2200"/>
      </w:tblGrid>
      <w:tr>
        <w:trPr>
          <w:tblHeader/>
        </w:trPr>
        <w:tc>
          <w:tcPr>
            <w:tcW w:type="dxa" w:w="7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Ref</w:t>
            </w:r>
          </w:p>
        </w:tc>
        <w:tc>
          <w:tcPr>
            <w:tcW w:type="dxa" w:w="61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Intended learning outcome</w:t>
            </w:r>
          </w:p>
        </w:tc>
        <w:tc>
          <w:tcPr>
            <w:tcW w:type="dxa" w:w="22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Level of learning</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w:t>
            </w:r>
          </w:p>
        </w:tc>
        <w:tc>
          <w:tcPr>
            <w:tcW w:type="dxa" w:w="61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 visual-design and perception principles to the construction of visualisations for a stated purpose.</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LO2</w:t>
            </w:r>
          </w:p>
        </w:tc>
        <w:tc>
          <w:tcPr>
            <w:tcW w:type="dxa" w:w="61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Construct data stories that carry an argument to a defined audience.</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LO3</w:t>
            </w:r>
          </w:p>
        </w:tc>
        <w:tc>
          <w:tcPr>
            <w:tcW w:type="dxa" w:w="61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Select appropriate visualisation tools, and evaluate the resulting visualisations against the question asked, the audience addressed and the perceptual principles relied on.</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Evaluate</w:t>
            </w:r>
          </w:p>
        </w:tc>
      </w:tr>
    </w:tbl>
    <w:p>
      <w:pPr>
        <w:spacing w:after="120" w:before="240"/>
      </w:pPr>
      <w:r>
        <w:rPr>
          <w:rFonts w:ascii="Open Sans" w:cs="Open Sans" w:eastAsia="Open Sans" w:hAnsi="Open Sans"/>
          <w:b/>
          <w:bCs/>
          <w:color w:val="000000"/>
          <w:sz w:val="24"/>
          <w:szCs w:val="24"/>
        </w:rPr>
        <w:t xml:space="preserve">4. Curriculum and Delivery</w:t>
      </w:r>
    </w:p>
    <w:p>
      <w:pPr>
        <w:spacing w:after="80" w:before="80"/>
      </w:pPr>
      <w:r>
        <w:rPr>
          <w:rFonts w:ascii="Open Sans" w:cs="Open Sans" w:eastAsia="Open Sans" w:hAnsi="Open Sans"/>
          <w:b/>
          <w:bCs/>
          <w:i w:val="false"/>
          <w:iCs w:val="false"/>
          <w:color w:val="000000"/>
          <w:sz w:val="20"/>
          <w:szCs w:val="20"/>
        </w:rPr>
        <w:t xml:space="preserve">Indicative syllabus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6800"/>
        <w:gridCol w:w="1500"/>
      </w:tblGrid>
      <w:tr>
        <w:trPr>
          <w:tblHeader/>
        </w:trPr>
        <w:tc>
          <w:tcPr>
            <w:tcW w:type="dxa" w:w="7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Unit</w:t>
            </w:r>
          </w:p>
        </w:tc>
        <w:tc>
          <w:tcPr>
            <w:tcW w:type="dxa" w:w="6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Content</w:t>
            </w:r>
          </w:p>
        </w:tc>
        <w:tc>
          <w:tcPr>
            <w:tcW w:type="dxa" w:w="15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Lecture hours</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U1</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Human perception and encoding: pre-attentive attributes, the encoding channels and their relative accuracy, and why the ranking of channels is an empirical result rather than a preference</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U2</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Visual-design principles: chart selection for the question asked, scale and axis honesty, colour used as information rather than decoration, and decluttering</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U3</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Data storytelling: narrative structure, audience, and the argument a visualisation is making whether or not its author intended one</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U4</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Visualisation tools in practice: declarative and library-based approaches, and reproducibility of a figure</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3</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U5</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Critique and revision: reading a visualisation against the question it claims to answer, and revising one’s own work on that basis</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3</w:t>
            </w:r>
          </w:p>
        </w:tc>
      </w:tr>
      <w:tr>
        <w:tc>
          <w:tcPr>
            <w:tcW w:type="dxa" w:w="7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
            </w:r>
          </w:p>
        </w:tc>
        <w:tc>
          <w:tcPr>
            <w:tcW w:type="dxa" w:w="68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Total lecture hours</w:t>
            </w:r>
          </w:p>
        </w:tc>
        <w:tc>
          <w:tcPr>
            <w:tcW w:type="dxa" w:w="15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30</w:t>
            </w:r>
          </w:p>
        </w:tc>
      </w:tr>
    </w:tbl>
    <w:p>
      <w:pPr>
        <w:spacing w:after="80" w:before="80"/>
      </w:pPr>
      <w:r>
        <w:rPr>
          <w:rFonts w:ascii="Open Sans" w:cs="Open Sans" w:eastAsia="Open Sans" w:hAnsi="Open Sans"/>
          <w:b w:val="false"/>
          <w:bCs w:val="false"/>
          <w:i w:val="false"/>
          <w:iCs w:val="false"/>
          <w:color w:val="000000"/>
          <w:sz w:val="20"/>
          <w:szCs w:val="20"/>
        </w:rPr>
        <w:t xml:space="preserve">Session note: the 30 lecture hours are delivered as 10 sessions of 3 hours, with unit allocations in multiples of 3 so that unit boundaries fall on session boundaries.</w:t>
      </w:r>
    </w:p>
    <w:p>
      <w:pPr>
        <w:spacing w:after="80" w:before="80"/>
      </w:pPr>
      <w:r>
        <w:rPr>
          <w:rFonts w:ascii="Open Sans" w:cs="Open Sans" w:eastAsia="Open Sans" w:hAnsi="Open Sans"/>
          <w:b w:val="false"/>
          <w:bCs w:val="false"/>
          <w:i w:val="false"/>
          <w:iCs w:val="false"/>
          <w:color w:val="000000"/>
          <w:sz w:val="20"/>
          <w:szCs w:val="20"/>
        </w:rPr>
        <w:t xml:space="preserve">Allocation cost, named: unit 4 receives a single session. Tool instruction is deliberately the thinnest strand, because students arrive from Applied Data Exploration already able to produce figures and because the destination assumes design judgment rather than tool coverage. If the module is later challenged as tool-light, that is the trade recorded here; the alternative would have been to reduce the perception unit, which nothing else in the programme teaches.</w:t>
      </w:r>
    </w:p>
    <w:p>
      <w:pPr>
        <w:spacing w:after="80" w:before="80"/>
      </w:pPr>
      <w:r>
        <w:rPr>
          <w:rFonts w:ascii="Open Sans" w:cs="Open Sans" w:eastAsia="Open Sans" w:hAnsi="Open Sans"/>
          <w:b w:val="false"/>
          <w:bCs w:val="false"/>
          <w:i w:val="false"/>
          <w:iCs w:val="false"/>
          <w:color w:val="000000"/>
          <w:sz w:val="20"/>
          <w:szCs w:val="20"/>
        </w:rPr>
        <w:t xml:space="preserve">Standing exposure, named: this is the smallest pathway module in the set. The design absorbs that by cutting breadth rather than depth, but the module has no further slack, and any additional demand placed on it would have to be met by a change of credit weighting rather than by internal adjustment.</w:t>
      </w:r>
    </w:p>
    <w:p>
      <w:pPr>
        <w:spacing w:after="80" w:before="80"/>
      </w:pPr>
      <w:r>
        <w:rPr>
          <w:rFonts w:ascii="Open Sans" w:cs="Open Sans" w:eastAsia="Open Sans" w:hAnsi="Open Sans"/>
          <w:b w:val="false"/>
          <w:bCs w:val="false"/>
          <w:i w:val="false"/>
          <w:iCs w:val="false"/>
          <w:color w:val="000000"/>
          <w:sz w:val="20"/>
          <w:szCs w:val="20"/>
        </w:rPr>
        <w:t xml:space="preserve">Working-language note: Python throughout for practical work. Several standard texts in this field use R for their figures; the principles they teach are language-independent and the reading list states this where relevant.</w:t>
      </w:r>
    </w:p>
    <w:p>
      <w:pPr>
        <w:spacing w:after="80" w:before="160"/>
      </w:pPr>
      <w:r>
        <w:rPr>
          <w:rFonts w:ascii="Open Sans" w:cs="Open Sans" w:eastAsia="Open Sans" w:hAnsi="Open Sans"/>
          <w:b/>
          <w:bCs/>
          <w:i w:val="false"/>
          <w:iCs w:val="false"/>
          <w:color w:val="000000"/>
          <w:sz w:val="20"/>
          <w:szCs w:val="20"/>
        </w:rPr>
        <w:t xml:space="preserve">Teaching and learning hours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6600"/>
        <w:gridCol w:w="2400"/>
      </w:tblGrid>
      <w:tr>
        <w:trPr>
          <w:tblHeader/>
        </w:trPr>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Hours</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Lectures</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30</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Tutorials</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Practicals</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12</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In-class assignments</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Demonstration</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3</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Self-guided study</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40</w:t>
            </w:r>
          </w:p>
        </w:tc>
      </w:tr>
      <w:tr>
        <w:tc>
          <w:tcPr>
            <w:tcW w:type="dxa" w:w="66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Total notional hours</w:t>
            </w:r>
          </w:p>
        </w:tc>
        <w:tc>
          <w:tcPr>
            <w:tcW w:type="dxa" w:w="24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100</w:t>
            </w:r>
          </w:p>
        </w:tc>
      </w:tr>
    </w:tbl>
    <w:p>
      <w:pPr>
        <w:spacing w:after="120" w:before="240"/>
      </w:pPr>
      <w:r>
        <w:rPr>
          <w:rFonts w:ascii="Open Sans" w:cs="Open Sans" w:eastAsia="Open Sans" w:hAnsi="Open Sans"/>
          <w:b/>
          <w:bCs/>
          <w:color w:val="000000"/>
          <w:sz w:val="24"/>
          <w:szCs w:val="24"/>
        </w:rPr>
        <w:t xml:space="preserve">5. Assessment</w:t>
      </w:r>
    </w:p>
    <w:p>
      <w:pPr>
        <w:spacing w:after="80" w:before="80"/>
      </w:pPr>
      <w:r>
        <w:rPr>
          <w:rFonts w:ascii="Open Sans" w:cs="Open Sans" w:eastAsia="Open Sans" w:hAnsi="Open Sans"/>
          <w:b w:val="false"/>
          <w:bCs w:val="false"/>
          <w:i w:val="false"/>
          <w:iCs w:val="false"/>
          <w:color w:val="000000"/>
          <w:sz w:val="20"/>
          <w:szCs w:val="20"/>
        </w:rPr>
        <w:t xml:space="preserve">Weightings are stated below and are confirmed at specification sign-off.</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500"/>
        <w:gridCol w:w="3600"/>
        <w:gridCol w:w="2200"/>
        <w:gridCol w:w="900"/>
        <w:gridCol w:w="800"/>
      </w:tblGrid>
      <w:tr>
        <w:trPr>
          <w:tblHeader/>
        </w:trPr>
        <w:tc>
          <w:tcPr>
            <w:tcW w:type="dxa" w:w="15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3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Task</w:t>
            </w:r>
          </w:p>
        </w:tc>
        <w:tc>
          <w:tcPr>
            <w:tcW w:type="dxa" w:w="22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Conditions</w:t>
            </w:r>
          </w:p>
        </w:tc>
        <w:tc>
          <w:tcPr>
            <w:tcW w:type="dxa" w:w="9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Outcomes</w:t>
            </w:r>
          </w:p>
        </w:tc>
        <w:tc>
          <w:tcPr>
            <w:tcW w:type="dxa" w:w="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Weight</w:t>
            </w:r>
          </w:p>
        </w:tc>
      </w:tr>
      <w:tr>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Coursework</w:t>
            </w:r>
          </w:p>
        </w:tc>
        <w:tc>
          <w:tcPr>
            <w:tcW w:type="dxa" w:w="3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Two-part portfolio. Part A: a set of visualisations built from a supplied dataset for a stated audience and question, presented as a short data story. Part B: a written critique of two published visualisations, evaluated against the question each claims to answer and the perceptual principles each relies on, with a suggested revision for one of them</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take-home; graded; Viva/Presentation: presentation of 10 minutes at demonstration, delivering the data story and defending one design decision</w:t>
            </w:r>
          </w:p>
        </w:tc>
        <w:tc>
          <w:tcPr>
            <w:tcW w:type="dxa" w:w="9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 to LO3</w:t>
            </w:r>
          </w:p>
        </w:tc>
        <w:tc>
          <w:tcPr>
            <w:tcW w:type="dxa" w:w="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60%</w:t>
            </w:r>
          </w:p>
        </w:tc>
      </w:tr>
      <w:tr>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Practical</w:t>
            </w:r>
          </w:p>
        </w:tc>
        <w:tc>
          <w:tcPr>
            <w:tcW w:type="dxa" w:w="3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Supervised laboratory assessment: build a small set of visualisations from an unseen dataset within a fixed session, with a brief written justification of the encoding choices made</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supervised; graded</w:t>
            </w:r>
          </w:p>
        </w:tc>
        <w:tc>
          <w:tcPr>
            <w:tcW w:type="dxa" w:w="9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 LO3</w:t>
            </w:r>
          </w:p>
        </w:tc>
        <w:tc>
          <w:tcPr>
            <w:tcW w:type="dxa" w:w="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40%</w:t>
            </w:r>
          </w:p>
        </w:tc>
      </w:tr>
    </w:tbl>
    <w:p>
      <w:pPr>
        <w:spacing w:after="80" w:before="80"/>
      </w:pPr>
      <w:r>
        <w:rPr>
          <w:rFonts w:ascii="Open Sans" w:cs="Open Sans" w:eastAsia="Open Sans" w:hAnsi="Open Sans"/>
          <w:b w:val="false"/>
          <w:bCs w:val="false"/>
          <w:i w:val="false"/>
          <w:iCs w:val="false"/>
          <w:color w:val="000000"/>
          <w:sz w:val="20"/>
          <w:szCs w:val="20"/>
        </w:rPr>
        <w:t xml:space="preserve">No examination is carried by design. The capability certified here is design judgment evidenced in produced work and in critique, neither of which an unseen written paper measures. The supervised laboratory assessment supplies the constrained individual evidence.</w:t>
      </w:r>
    </w:p>
    <w:p>
      <w:pPr>
        <w:spacing w:after="80" w:before="80"/>
      </w:pPr>
      <w:r>
        <w:rPr>
          <w:rFonts w:ascii="Open Sans" w:cs="Open Sans" w:eastAsia="Open Sans" w:hAnsi="Open Sans"/>
          <w:b w:val="false"/>
          <w:bCs w:val="false"/>
          <w:i w:val="false"/>
          <w:iCs w:val="false"/>
          <w:color w:val="000000"/>
          <w:sz w:val="20"/>
          <w:szCs w:val="20"/>
        </w:rPr>
        <w:t xml:space="preserve">Reassessment is by failed component. The portfolio is an open-resource task in which generative-artificial-intelligence assistance must be declared; the critique must be the student’s own reading rather than a generated one, and the presentation is where that is tested. The laboratory assessment is closed to such assistance.</w:t>
      </w:r>
    </w:p>
    <w:p>
      <w:pPr>
        <w:spacing w:after="120" w:before="240"/>
      </w:pPr>
      <w:r>
        <w:rPr>
          <w:rFonts w:ascii="Open Sans" w:cs="Open Sans" w:eastAsia="Open Sans" w:hAnsi="Open Sans"/>
          <w:b/>
          <w:bCs/>
          <w:color w:val="000000"/>
          <w:sz w:val="24"/>
          <w:szCs w:val="24"/>
        </w:rPr>
        <w:t xml:space="preserve">6. Resources, Staff and Governance</w:t>
      </w:r>
    </w:p>
    <w:p>
      <w:pPr>
        <w:spacing w:after="80" w:before="80"/>
      </w:pPr>
      <w:r>
        <w:rPr>
          <w:rFonts w:ascii="Open Sans" w:cs="Open Sans" w:eastAsia="Open Sans" w:hAnsi="Open Sans"/>
          <w:b/>
          <w:bCs/>
          <w:i w:val="false"/>
          <w:iCs w:val="false"/>
          <w:color w:val="000000"/>
          <w:sz w:val="20"/>
          <w:szCs w:val="20"/>
        </w:rPr>
        <w:t xml:space="preserve">Indicative reading</w:t>
      </w:r>
    </w:p>
    <w:p>
      <w:pPr>
        <w:spacing w:after="60" w:before="60"/>
        <w:ind w:left="300" w:hanging="300"/>
      </w:pPr>
      <w:r>
        <w:rPr>
          <w:rFonts w:ascii="Open Sans" w:cs="Open Sans" w:eastAsia="Open Sans" w:hAnsi="Open Sans"/>
          <w:b/>
          <w:bCs/>
          <w:sz w:val="18"/>
          <w:szCs w:val="18"/>
        </w:rPr>
        <w:t xml:space="preserve">Core</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Munzner, T. (2014) Visualization Analysis and Design. A K Peters / CRC Press. Primary text for units 1, 2 and 5; the analysis framework it provides is what makes critique teachable rather than a matter of taste.</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Wilke, C. O. (2019) Fundamentals of Data Visualization: A Primer on Making Informative and Compelling Figures. O’Reilly Media. ISBN 978-1-4920-3108-6. Second text for unit 2, freely available at clauswilke.com/dataviz. Dependency: the figures are produced in R; the principles and the directory of visualisation types are language-independent and no R competence is required or assessed.</w:t>
      </w:r>
    </w:p>
    <w:p>
      <w:pPr>
        <w:spacing w:after="60" w:before="60"/>
        <w:ind w:left="300" w:hanging="300"/>
      </w:pPr>
      <w:r>
        <w:rPr>
          <w:rFonts w:ascii="Open Sans" w:cs="Open Sans" w:eastAsia="Open Sans" w:hAnsi="Open Sans"/>
          <w:b/>
          <w:bCs/>
          <w:sz w:val="18"/>
          <w:szCs w:val="18"/>
        </w:rPr>
        <w:t xml:space="preserve">Supplementary</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Knaflic, C. N. (2015) Storytelling with Data: A Data Visualization Guide for Business Professionals. Wiley. Used for unit 3. Dependency: a practitioner text rather than a research-grounded one; set for its narrative structure and paired with Munzner so that the storytelling strand remains anchored in perception.</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Tufte, E. R. (2001) The Visual Display of Quantitative Information. 2nd edition. Graphics Press. Reference for the design tradition and the honesty arguments in unit 2. Dependency: predates current empirical perception research; cited for its arguments, not as current guidance.</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VanderPlas, J. (2022) Python Data Science Handbook: Essential Tools for Working with Data. 2nd edition. O’Reilly Media. Carried forward from Applied Data Exploration and used for unit 4 only, which is where the module’s tool coverage sits.</w:t>
      </w:r>
    </w:p>
    <w:p>
      <w:pPr>
        <w:spacing w:after="60" w:before="60"/>
        <w:ind w:left="300" w:hanging="300"/>
      </w:pPr>
      <w:r>
        <w:rPr>
          <w:rFonts w:ascii="Open Sans" w:cs="Open Sans" w:eastAsia="Open Sans" w:hAnsi="Open Sans"/>
          <w:b/>
          <w:bCs/>
          <w:sz w:val="18"/>
          <w:szCs w:val="18"/>
        </w:rPr>
        <w:t xml:space="preserve">School-produced</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A critique library of published visualisations with known design faults, an encoding-accuracy exercise set, and a data-story template. Confirmed at teaching-plan stage.</w:t>
      </w:r>
    </w:p>
    <w:p>
      <w:pPr>
        <w:spacing w:after="80" w:before="200"/>
      </w:pPr>
      <w:r>
        <w:rPr>
          <w:rFonts w:ascii="Open Sans" w:cs="Open Sans" w:eastAsia="Open Sans" w:hAnsi="Open Sans"/>
          <w:b/>
          <w:bCs/>
          <w:i w:val="false"/>
          <w:iCs w:val="false"/>
          <w:color w:val="000000"/>
          <w:sz w:val="20"/>
          <w:szCs w:val="20"/>
        </w:rPr>
        <w:t xml:space="preserve">Staffing</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3000"/>
        <w:gridCol w:w="3000"/>
      </w:tblGrid>
      <w:tr>
        <w:trPr>
          <w:tblHeader/>
        </w:trPr>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Role</w:t>
            </w:r>
          </w:p>
        </w:tc>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Name</w:t>
            </w:r>
          </w:p>
        </w:tc>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Domain credential</w:t>
            </w:r>
          </w:p>
        </w:tc>
      </w:tr>
      <w:tr>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leader 1</w:t>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r>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leader 2</w:t>
            </w:r>
          </w:p>
        </w:tc>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r>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External module auditor</w:t>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bl>
    <w:p>
      <w:pPr>
        <w:spacing w:after="80" w:before="140"/>
      </w:pPr>
      <w:r>
        <w:rPr>
          <w:rFonts w:ascii="Open Sans" w:cs="Open Sans" w:eastAsia="Open Sans" w:hAnsi="Open Sans"/>
          <w:b w:val="false"/>
          <w:bCs w:val="false"/>
          <w:i w:val="false"/>
          <w:iCs w:val="false"/>
          <w:color w:val="000000"/>
          <w:sz w:val="20"/>
          <w:szCs w:val="20"/>
        </w:rPr>
        <w:t xml:space="preserve">Domain-expertise statement: delivery requires data-visualisation and analytics expertise. The perception and critique strands are the ones a generically staffed delivery would quietly drop in favour of tool demonstration, which would leave the destination’s design-judgment assumption unmet; this is recorded as the specific delivery risk for this module.</w:t>
      </w:r>
    </w:p>
    <w:p>
      <w:pPr>
        <w:spacing w:after="80" w:before="200"/>
      </w:pPr>
      <w:r>
        <w:rPr>
          <w:rFonts w:ascii="Open Sans" w:cs="Open Sans" w:eastAsia="Open Sans" w:hAnsi="Open Sans"/>
          <w:b/>
          <w:bCs/>
          <w:i w:val="false"/>
          <w:iCs w:val="false"/>
          <w:color w:val="000000"/>
          <w:sz w:val="20"/>
          <w:szCs w:val="20"/>
        </w:rPr>
        <w:t xml:space="preserve">Sign-off</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800"/>
        <w:gridCol w:w="2600"/>
        <w:gridCol w:w="4600"/>
      </w:tblGrid>
      <w:tr>
        <w:trPr>
          <w:tblHeader/>
        </w:trPr>
        <w:tc>
          <w:tcPr>
            <w:tcW w:type="dxa" w:w="1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Version</w:t>
            </w:r>
          </w:p>
        </w:tc>
        <w:tc>
          <w:tcPr>
            <w:tcW w:type="dxa" w:w="2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Date</w:t>
            </w:r>
          </w:p>
        </w:tc>
        <w:tc>
          <w:tcPr>
            <w:tcW w:type="dxa" w:w="4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Status</w:t>
            </w:r>
          </w:p>
        </w:tc>
      </w:tr>
      <w:tr>
        <w:tc>
          <w:tcPr>
            <w:tcW w:type="dxa" w:w="1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1.0</w:t>
            </w:r>
          </w:p>
        </w:tc>
        <w:tc>
          <w:tcPr>
            <w:tcW w:type="dxa" w:w="2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22 July 2026</w:t>
            </w:r>
          </w:p>
        </w:tc>
        <w:tc>
          <w:tcPr>
            <w:tcW w:type="dxa" w:w="4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Issued for review</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2026-07-22T03:12:17.023Z</dcterms:created>
  <dcterms:modified xsi:type="dcterms:W3CDTF">2026-07-22T03:12:17.023Z</dcterms:modified>
</cp:coreProperties>
</file>

<file path=docProps/custom.xml><?xml version="1.0" encoding="utf-8"?>
<Properties xmlns="http://schemas.openxmlformats.org/officeDocument/2006/custom-properties" xmlns:vt="http://schemas.openxmlformats.org/officeDocument/2006/docPropsVTypes"/>
</file>