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Open Sans" w:cs="Open Sans" w:eastAsia="Open Sans" w:hAnsi="Open Sans"/>
          <w:b/>
          <w:bCs/>
          <w:color w:val="000000"/>
          <w:sz w:val="30"/>
          <w:szCs w:val="30"/>
        </w:rPr>
        <w:t xml:space="preserve">Module Descriptor</w:t>
      </w:r>
    </w:p>
    <w:p>
      <w:pPr>
        <w:pBdr>
          <w:bottom w:val="single" w:color="595959" w:sz="8" w:space="6"/>
        </w:pBdr>
        <w:spacing w:after="200" w:before="0"/>
      </w:pPr>
      <w:r>
        <w:rPr>
          <w:rFonts w:ascii="Open Sans" w:cs="Open Sans" w:eastAsia="Open Sans" w:hAnsi="Open Sans"/>
          <w:b/>
          <w:bCs/>
          <w:color w:val="595959"/>
          <w:sz w:val="34"/>
          <w:szCs w:val="34"/>
        </w:rPr>
        <w:t xml:space="preserve">Time Series and Forecasting</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code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NB-SOCE-L4-AD-TT-08</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Category</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Pathway module, taught</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Programme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BSc Computer Science with Artificial Intelligence and Data Science</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Status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Draft for review, version 1.0</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Date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Sources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School curriculum decision records; Sri Lanka Qualifications Framework (September 2015 edition, University Grants Commission); partner university module descriptors</w:t>
            </w:r>
          </w:p>
        </w:tc>
      </w:tr>
    </w:tbl>
    <w:p>
      <w:pPr>
        <w:spacing w:after="120" w:before="240"/>
      </w:pPr>
      <w:r>
        <w:rPr>
          <w:rFonts w:ascii="Open Sans" w:cs="Open Sans" w:eastAsia="Open Sans" w:hAnsi="Open Sans"/>
          <w:b/>
          <w:bCs/>
          <w:color w:val="000000"/>
          <w:sz w:val="24"/>
          <w:szCs w:val="24"/>
        </w:rPr>
        <w:t xml:space="preserve">1. Module Identity and Architecture</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title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Time Series and Forecasting</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SLQF level and credits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Level 4 (Year 2); 2 credits; 100 notional hours</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Feeder targets</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NB6024CEM Data Visualisation, whose time-series and ARIMA requirement this module supplies in-house. Secondary support to NB6025CEM Statistical Methods for Data Science and NB6003CEM Machine Learning, for temporal data handling.</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Prerequisites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Statistical Methods and Analysis, for the inference base; the sequencing is mandatory, not advisory. Applied Data Exploration, for data handling and the Python data stack. Mathematics for Intelligent Systems, for quantitative grounding.</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Delivery mode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Session-based delivery in 3-hour blocks; 10 lecture sessions plus tutorials, practicals and demonstration</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Progression role</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Year 2 pathway module, sequenced after Statistical Methods and Analysis; not a bridging module.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Exit-award relevance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Forecasting competency in the pathway profile at Higher National Diploma level, and an industry-visible analytics skill. Exit-award requirements remain subject to change and additional requirements may be introduced by the accrediting authority; the specification remains adaptable.</w:t>
            </w:r>
          </w:p>
        </w:tc>
      </w:tr>
    </w:tbl>
    <w:p>
      <w:pPr>
        <w:spacing w:after="120" w:before="240"/>
      </w:pPr>
      <w:r>
        <w:rPr>
          <w:rFonts w:ascii="Open Sans" w:cs="Open Sans" w:eastAsia="Open Sans" w:hAnsi="Open Sans"/>
          <w:b/>
          <w:bCs/>
          <w:color w:val="000000"/>
          <w:sz w:val="24"/>
          <w:szCs w:val="24"/>
        </w:rPr>
        <w:t xml:space="preserve">2. Module Purpose and Aims</w:t>
      </w:r>
    </w:p>
    <w:p>
      <w:pPr>
        <w:spacing w:after="80" w:before="80"/>
      </w:pPr>
      <w:r>
        <w:rPr>
          <w:rFonts w:ascii="Open Sans" w:cs="Open Sans" w:eastAsia="Open Sans" w:hAnsi="Open Sans"/>
          <w:b w:val="false"/>
          <w:bCs w:val="false"/>
          <w:i w:val="false"/>
          <w:iCs w:val="false"/>
          <w:color w:val="000000"/>
          <w:sz w:val="20"/>
          <w:szCs w:val="20"/>
        </w:rPr>
        <w:t xml:space="preserve">This module exists to close a specific gap rather than to survey a field, and its design follows from that. The destination module NB6024CEM assumes that students arrive able to handle time-series structure and ARIMA-family models. Nothing else in the programme supplied that assumption. This module supplies it.</w:t>
      </w:r>
    </w:p>
    <w:p>
      <w:pPr>
        <w:spacing w:after="80" w:before="80"/>
      </w:pPr>
      <w:r>
        <w:rPr>
          <w:rFonts w:ascii="Open Sans" w:cs="Open Sans" w:eastAsia="Open Sans" w:hAnsi="Open Sans"/>
          <w:b w:val="false"/>
          <w:bCs w:val="false"/>
          <w:i w:val="false"/>
          <w:iCs w:val="false"/>
          <w:color w:val="000000"/>
          <w:sz w:val="20"/>
          <w:szCs w:val="20"/>
        </w:rPr>
        <w:t xml:space="preserve">It is deliberately sized to the requirement at 2 credits. The gap is ARIMA-family basics and a defensible forecasting workflow, not a full forecasting curriculum, and enlarging the module would have been funded by thinning something else. The honest consequence is stated: exponential smoothing, hierarchical forecasting and machine-learning approaches to forecasting are named as territory and not taught, and a student leaving this module is competent in a bounded workflow rather than broadly qualified as a forecaster.</w:t>
      </w:r>
    </w:p>
    <w:p>
      <w:pPr>
        <w:spacing w:after="80" w:before="80"/>
      </w:pPr>
      <w:r>
        <w:rPr>
          <w:rFonts w:ascii="Open Sans" w:cs="Open Sans" w:eastAsia="Open Sans" w:hAnsi="Open Sans"/>
          <w:b w:val="false"/>
          <w:bCs w:val="false"/>
          <w:i w:val="false"/>
          <w:iCs w:val="false"/>
          <w:color w:val="000000"/>
          <w:sz w:val="20"/>
          <w:szCs w:val="20"/>
        </w:rPr>
        <w:t xml:space="preserve">What the module does insist on is the discipline that makes forecasting honest. Ordered data breaks the independence assumption the previous statistics module relied on; evaluation must respect time order or it is meaningless; and a forecast presented without its uncertainty is a misleading artefact rather than a result.</w:t>
      </w:r>
    </w:p>
    <w:p>
      <w:pPr>
        <w:spacing w:after="80" w:before="160"/>
      </w:pPr>
      <w:r>
        <w:rPr>
          <w:rFonts w:ascii="Open Sans" w:cs="Open Sans" w:eastAsia="Open Sans" w:hAnsi="Open Sans"/>
          <w:b/>
          <w:bCs/>
          <w:i w:val="false"/>
          <w:iCs w:val="false"/>
          <w:color w:val="000000"/>
          <w:sz w:val="20"/>
          <w:szCs w:val="20"/>
        </w:rPr>
        <w:t xml:space="preserve">Specification boundary</w:t>
      </w:r>
    </w:p>
    <w:tbl>
      <w:tblPr>
        <w:tblW w:type="dxa" w:w="9000"/>
        <w:tblBorders>
          <w:top w:val="none" w:color="FFFFFF" w:sz="0"/>
          <w:left w:val="single" w:color="595959" w:sz="18"/>
          <w:bottom w:val="none" w:color="FFFFFF" w:sz="0"/>
          <w:right w:val="none" w:color="FFFFFF" w:sz="0"/>
          <w:insideH w:val="none" w:color="FFFFFF" w:sz="0"/>
          <w:insideV w:val="none" w:color="FFFFFF" w:sz="0"/>
        </w:tblBorders>
      </w:tblPr>
      <w:tblGrid>
        <w:gridCol w:w="9000"/>
      </w:tblGrid>
      <w:tr>
        <w:tc>
          <w:tcPr>
            <w:tcW w:type="dxa" w:w="9000"/>
            <w:shd w:fill="F7F7F7" w:color="auto" w:val="clear"/>
            <w:tcMar>
              <w:top w:type="dxa" w:w="140"/>
              <w:left w:type="dxa" w:w="200"/>
              <w:bottom w:type="dxa" w:w="140"/>
              <w:right w:type="dxa" w:w="160"/>
            </w:tcMar>
          </w:tcPr>
          <w:p>
            <w:pPr>
              <w:spacing w:after="40" w:before="40"/>
            </w:pPr>
            <w:r>
              <w:rPr>
                <w:rFonts w:ascii="Open Sans" w:cs="Open Sans" w:eastAsia="Open Sans" w:hAnsi="Open Sans"/>
                <w:b/>
                <w:bCs/>
                <w:sz w:val="18"/>
                <w:szCs w:val="18"/>
              </w:rPr>
              <w:t xml:space="preserve">Covers: </w:t>
            </w:r>
            <w:r>
              <w:rPr>
                <w:rFonts w:ascii="Open Sans" w:cs="Open Sans" w:eastAsia="Open Sans" w:hAnsi="Open Sans"/>
                <w:i w:val="false"/>
                <w:iCs w:val="false"/>
                <w:sz w:val="18"/>
                <w:szCs w:val="18"/>
              </w:rPr>
              <w:t xml:space="preserve">time-series structure, covering trend, seasonality and stationarity; decomposition; ARIMA-family models at applied level; forecasting workflow and evaluation; temporal visualisation of modelled series.</w:t>
            </w:r>
          </w:p>
          <w:p>
            <w:pPr>
              <w:spacing w:after="40" w:before="40"/>
            </w:pPr>
            <w:r>
              <w:rPr>
                <w:rFonts w:ascii="Open Sans" w:cs="Open Sans" w:eastAsia="Open Sans" w:hAnsi="Open Sans"/>
                <w:b/>
                <w:bCs/>
                <w:sz w:val="18"/>
                <w:szCs w:val="18"/>
              </w:rPr>
              <w:t xml:space="preserve">Does not cover: </w:t>
            </w:r>
            <w:r>
              <w:rPr>
                <w:rFonts w:ascii="Open Sans" w:cs="Open Sans" w:eastAsia="Open Sans" w:hAnsi="Open Sans"/>
                <w:i w:val="false"/>
                <w:iCs w:val="false"/>
                <w:sz w:val="18"/>
                <w:szCs w:val="18"/>
              </w:rPr>
              <w:t xml:space="preserve">deep-learning sequence models, which sit at awareness level in Applied Artificial Intelligence; generalised linear models, which are covered by NB6025CEM; general visual design and storytelling, which are covered by Data Visualisation and Insight.</w:t>
            </w:r>
          </w:p>
          <w:p>
            <w:pPr>
              <w:spacing w:after="40" w:before="40"/>
            </w:pPr>
            <w:r>
              <w:rPr>
                <w:rFonts w:ascii="Open Sans" w:cs="Open Sans" w:eastAsia="Open Sans" w:hAnsi="Open Sans"/>
                <w:b/>
                <w:bCs/>
                <w:sz w:val="18"/>
                <w:szCs w:val="18"/>
              </w:rPr>
              <w:t xml:space="preserve"/>
            </w:r>
            <w:r>
              <w:rPr>
                <w:rFonts w:ascii="Open Sans" w:cs="Open Sans" w:eastAsia="Open Sans" w:hAnsi="Open Sans"/>
                <w:i/>
                <w:iCs/>
                <w:sz w:val="18"/>
                <w:szCs w:val="18"/>
              </w:rPr>
              <w:t xml:space="preserve">Changes to this boundary are made only through the School’s formal change-control process, not by amendment of this descriptor.</w:t>
            </w:r>
          </w:p>
        </w:tc>
      </w:tr>
    </w:tbl>
    <w:p>
      <w:pPr>
        <w:spacing w:after="120" w:before="240"/>
      </w:pPr>
      <w:r>
        <w:rPr>
          <w:rFonts w:ascii="Open Sans" w:cs="Open Sans" w:eastAsia="Open Sans" w:hAnsi="Open Sans"/>
          <w:b/>
          <w:bCs/>
          <w:color w:val="000000"/>
          <w:sz w:val="24"/>
          <w:szCs w:val="24"/>
        </w:rPr>
        <w:t xml:space="preserve">3. Learning Outcomes</w:t>
      </w:r>
    </w:p>
    <w:p>
      <w:pPr>
        <w:spacing w:after="80" w:before="80"/>
      </w:pPr>
      <w:r>
        <w:rPr>
          <w:rFonts w:ascii="Open Sans" w:cs="Open Sans" w:eastAsia="Open Sans" w:hAnsi="Open Sans"/>
          <w:b w:val="false"/>
          <w:bCs w:val="false"/>
          <w:i w:val="false"/>
          <w:iCs w:val="false"/>
          <w:color w:val="000000"/>
          <w:sz w:val="20"/>
          <w:szCs w:val="20"/>
        </w:rPr>
        <w:t xml:space="preserve">On successful completion of this module, a student will be able to: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100"/>
        <w:gridCol w:w="22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Ref</w:t>
            </w:r>
          </w:p>
        </w:tc>
        <w:tc>
          <w:tcPr>
            <w:tcW w:type="dxa" w:w="61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Intended learning outcome</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Level of learning</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Characterise time-series structure, including trend, seasonality and stationarity, and identify what that structure implies for modelling.</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 and analyse</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LO2</w:t>
            </w:r>
          </w:p>
        </w:tc>
        <w:tc>
          <w:tcPr>
            <w:tcW w:type="dxa" w:w="61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Fit and evaluate ARIMA-family models on real series, using diagnostics to judge adequacy.</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Evaluate</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LO3</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 a forecasting workflow and communicate forecast uncertainty honestly to a defined audience.</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w:t>
            </w:r>
          </w:p>
        </w:tc>
      </w:tr>
    </w:tbl>
    <w:p>
      <w:pPr>
        <w:spacing w:after="120" w:before="240"/>
      </w:pPr>
      <w:r>
        <w:rPr>
          <w:rFonts w:ascii="Open Sans" w:cs="Open Sans" w:eastAsia="Open Sans" w:hAnsi="Open Sans"/>
          <w:b/>
          <w:bCs/>
          <w:color w:val="000000"/>
          <w:sz w:val="24"/>
          <w:szCs w:val="24"/>
        </w:rPr>
        <w:t xml:space="preserve">4. Curriculum and Delivery</w:t>
      </w:r>
    </w:p>
    <w:p>
      <w:pPr>
        <w:spacing w:after="80" w:before="80"/>
      </w:pPr>
      <w:r>
        <w:rPr>
          <w:rFonts w:ascii="Open Sans" w:cs="Open Sans" w:eastAsia="Open Sans" w:hAnsi="Open Sans"/>
          <w:b/>
          <w:bCs/>
          <w:i w:val="false"/>
          <w:iCs w:val="false"/>
          <w:color w:val="000000"/>
          <w:sz w:val="20"/>
          <w:szCs w:val="20"/>
        </w:rPr>
        <w:t xml:space="preserve">Indicative syllabus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800"/>
        <w:gridCol w:w="15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Unit</w:t>
            </w:r>
          </w:p>
        </w:tc>
        <w:tc>
          <w:tcPr>
            <w:tcW w:type="dxa" w:w="6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Content</w:t>
            </w:r>
          </w:p>
        </w:tc>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Lecture hours</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U1</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Time-series structure: trend, seasonality, cycles and stationarity, and why methods that assume independent observations fail on ordered data</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U2</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Decomposition and stationarity in practice: classical decomposition, differencing, and testing whether a series is stationary</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U3</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ARIMA-family models at applied level: autocorrelation and partial autocorrelation, model identification, fitting, and residual diagnostics</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U4</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Forecasting workflow and evaluation: forecast origin and horizon, backtesting that respects time order, error measures, and prediction intervals</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U5</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Temporal visualisation of modelled series: presenting fit, forecast and uncertainty in a form that does not overstate what is known</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w:t>
            </w:r>
          </w:p>
        </w:tc>
      </w:tr>
      <w:tr>
        <w:tc>
          <w:tcPr>
            <w:tcW w:type="dxa" w:w="7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
            </w:r>
          </w:p>
        </w:tc>
        <w:tc>
          <w:tcPr>
            <w:tcW w:type="dxa" w:w="68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lecture hours</w:t>
            </w:r>
          </w:p>
        </w:tc>
        <w:tc>
          <w:tcPr>
            <w:tcW w:type="dxa" w:w="15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30</w:t>
            </w:r>
          </w:p>
        </w:tc>
      </w:tr>
    </w:tbl>
    <w:p>
      <w:pPr>
        <w:spacing w:after="80" w:before="80"/>
      </w:pPr>
      <w:r>
        <w:rPr>
          <w:rFonts w:ascii="Open Sans" w:cs="Open Sans" w:eastAsia="Open Sans" w:hAnsi="Open Sans"/>
          <w:b w:val="false"/>
          <w:bCs w:val="false"/>
          <w:i w:val="false"/>
          <w:iCs w:val="false"/>
          <w:color w:val="000000"/>
          <w:sz w:val="20"/>
          <w:szCs w:val="20"/>
        </w:rPr>
        <w:t xml:space="preserve">Session note: the 30 lecture hours are delivered as 10 sessions of 3 hours, with unit allocations in multiples of 3 so that unit boundaries fall on session boundaries. Unit 3 carries the largest allocation because model identification is the skill the destination assumes and the one students find hardest.</w:t>
      </w:r>
    </w:p>
    <w:p>
      <w:pPr>
        <w:spacing w:after="80" w:before="80"/>
      </w:pPr>
      <w:r>
        <w:rPr>
          <w:rFonts w:ascii="Open Sans" w:cs="Open Sans" w:eastAsia="Open Sans" w:hAnsi="Open Sans"/>
          <w:b w:val="false"/>
          <w:bCs w:val="false"/>
          <w:i w:val="false"/>
          <w:iCs w:val="false"/>
          <w:color w:val="000000"/>
          <w:sz w:val="20"/>
          <w:szCs w:val="20"/>
        </w:rPr>
        <w:t xml:space="preserve">Scope cost, named: at 10 sessions this module teaches one modelling family properly rather than several superficially. Exponential smoothing is named in unit 1 as an alternative family and is not taught. That is the deliberate consequence of sizing the module to the gap, and it should be visible to reviewers rather than discovered by a student who expects a general forecasting course.</w:t>
      </w:r>
    </w:p>
    <w:p>
      <w:pPr>
        <w:spacing w:after="80" w:before="80"/>
      </w:pPr>
      <w:r>
        <w:rPr>
          <w:rFonts w:ascii="Open Sans" w:cs="Open Sans" w:eastAsia="Open Sans" w:hAnsi="Open Sans"/>
          <w:b w:val="false"/>
          <w:bCs w:val="false"/>
          <w:i w:val="false"/>
          <w:iCs w:val="false"/>
          <w:color w:val="000000"/>
          <w:sz w:val="20"/>
          <w:szCs w:val="20"/>
        </w:rPr>
        <w:t xml:space="preserve">Working-language note: Python throughout. This is noted explicitly because the standard reference in this field is written for R; the reading list resolves that rather than leaving students to translate.</w:t>
      </w:r>
    </w:p>
    <w:p>
      <w:pPr>
        <w:spacing w:after="80" w:before="160"/>
      </w:pPr>
      <w:r>
        <w:rPr>
          <w:rFonts w:ascii="Open Sans" w:cs="Open Sans" w:eastAsia="Open Sans" w:hAnsi="Open Sans"/>
          <w:b/>
          <w:bCs/>
          <w:i w:val="false"/>
          <w:iCs w:val="false"/>
          <w:color w:val="000000"/>
          <w:sz w:val="20"/>
          <w:szCs w:val="20"/>
        </w:rPr>
        <w:t xml:space="preserve">Teaching and learning hours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6600"/>
        <w:gridCol w:w="2400"/>
      </w:tblGrid>
      <w:tr>
        <w:trPr>
          <w:tblHeader/>
        </w:trPr>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Hours</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Lectures</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30</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Tutorials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Practicals</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In-class assignments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Demonstration</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Self-guided study</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40</w:t>
            </w:r>
          </w:p>
        </w:tc>
      </w:tr>
      <w:tr>
        <w:tc>
          <w:tcPr>
            <w:tcW w:type="dxa" w:w="66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notional hours</w:t>
            </w:r>
          </w:p>
        </w:tc>
        <w:tc>
          <w:tcPr>
            <w:tcW w:type="dxa" w:w="24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100</w:t>
            </w:r>
          </w:p>
        </w:tc>
      </w:tr>
    </w:tbl>
    <w:p>
      <w:pPr>
        <w:spacing w:after="120" w:before="240"/>
      </w:pPr>
      <w:r>
        <w:rPr>
          <w:rFonts w:ascii="Open Sans" w:cs="Open Sans" w:eastAsia="Open Sans" w:hAnsi="Open Sans"/>
          <w:b/>
          <w:bCs/>
          <w:color w:val="000000"/>
          <w:sz w:val="24"/>
          <w:szCs w:val="24"/>
        </w:rPr>
        <w:t xml:space="preserve">5. Assessment</w:t>
      </w:r>
    </w:p>
    <w:p>
      <w:pPr>
        <w:spacing w:after="80" w:before="80"/>
      </w:pPr>
      <w:r>
        <w:rPr>
          <w:rFonts w:ascii="Open Sans" w:cs="Open Sans" w:eastAsia="Open Sans" w:hAnsi="Open Sans"/>
          <w:b w:val="false"/>
          <w:bCs w:val="false"/>
          <w:i w:val="false"/>
          <w:iCs w:val="false"/>
          <w:color w:val="000000"/>
          <w:sz w:val="20"/>
          <w:szCs w:val="20"/>
        </w:rPr>
        <w:t xml:space="preserve">Weightings are stated below and are confirmed at specification 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500"/>
        <w:gridCol w:w="3600"/>
        <w:gridCol w:w="2200"/>
        <w:gridCol w:w="900"/>
        <w:gridCol w:w="800"/>
      </w:tblGrid>
      <w:tr>
        <w:trPr>
          <w:tblHeader/>
        </w:trPr>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3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Task</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Conditions</w:t>
            </w:r>
          </w:p>
        </w:tc>
        <w:tc>
          <w:tcPr>
            <w:tcW w:type="dxa" w:w="9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Outcomes</w:t>
            </w:r>
          </w:p>
        </w:tc>
        <w:tc>
          <w:tcPr>
            <w:tcW w:type="dxa" w:w="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Weight</w:t>
            </w:r>
          </w:p>
        </w:tc>
      </w:tr>
      <w:tr>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Coursework</w:t>
            </w:r>
          </w:p>
        </w:tc>
        <w:tc>
          <w:tcPr>
            <w:tcW w:type="dxa" w:w="3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Forecasting study on a supplied real series: characterise the structure, decompose and stabilise the series, identify and fit an ARIMA-family model, justify the identification from the diagnostics, backtest with a time-respecting evaluation, and present the forecast with its uncertainty for a stated audience. Submitted as a reproducible analysis plus a report of approximately 1,500 words</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take-home; graded; Viva/Presentation: presentation of 10 minutes at demonstration, on the model identification and the uncertainty presentation</w:t>
            </w:r>
          </w:p>
        </w:tc>
        <w:tc>
          <w:tcPr>
            <w:tcW w:type="dxa" w:w="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to LO3</w:t>
            </w:r>
          </w:p>
        </w:tc>
        <w:tc>
          <w:tcPr>
            <w:tcW w:type="dxa" w:w="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70%</w:t>
            </w:r>
          </w:p>
        </w:tc>
      </w:tr>
      <w:tr>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Coursework (in-class)</w:t>
            </w:r>
          </w:p>
        </w:tc>
        <w:tc>
          <w:tcPr>
            <w:tcW w:type="dxa" w:w="3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Supervised open-resource applied test on structure characterisation, model identification from correlation plots, and diagnostic reading</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supervised; graded; Viva/Presentation: none</w:t>
            </w:r>
          </w:p>
        </w:tc>
        <w:tc>
          <w:tcPr>
            <w:tcW w:type="dxa" w:w="9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LO2</w:t>
            </w:r>
          </w:p>
        </w:tc>
        <w:tc>
          <w:tcPr>
            <w:tcW w:type="dxa" w:w="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30%</w:t>
            </w:r>
          </w:p>
        </w:tc>
      </w:tr>
    </w:tbl>
    <w:p>
      <w:pPr>
        <w:spacing w:after="80" w:before="80"/>
      </w:pPr>
      <w:r>
        <w:rPr>
          <w:rFonts w:ascii="Open Sans" w:cs="Open Sans" w:eastAsia="Open Sans" w:hAnsi="Open Sans"/>
          <w:b w:val="false"/>
          <w:bCs w:val="false"/>
          <w:i w:val="false"/>
          <w:iCs w:val="false"/>
          <w:color w:val="000000"/>
          <w:sz w:val="20"/>
          <w:szCs w:val="20"/>
        </w:rPr>
        <w:t xml:space="preserve">No examination is carried by design. At 2 credits the module has neither the breadth nor the theoretical surface that an unseen paper would test well. The identification and diagnostics judgment the destination assumes is evidenced under constraint by the supervised in-class test, which targets the same judgment an examination would but exercises it on actual plots.</w:t>
      </w:r>
    </w:p>
    <w:p>
      <w:pPr>
        <w:spacing w:after="80" w:before="80"/>
      </w:pPr>
      <w:r>
        <w:rPr>
          <w:rFonts w:ascii="Open Sans" w:cs="Open Sans" w:eastAsia="Open Sans" w:hAnsi="Open Sans"/>
          <w:b w:val="false"/>
          <w:bCs w:val="false"/>
          <w:i w:val="false"/>
          <w:iCs w:val="false"/>
          <w:color w:val="000000"/>
          <w:sz w:val="20"/>
          <w:szCs w:val="20"/>
        </w:rPr>
        <w:t xml:space="preserve">Reassessment is by failed component. The forecasting study is an open-resource task in which generative-artificial-intelligence assistance must be declared and the identification reasoning written by the student; automated model selection may be used only if its output is interrogated and justified rather than accepted, and the presentation is where that is tested.</w:t>
      </w:r>
    </w:p>
    <w:p>
      <w:pPr>
        <w:spacing w:after="120" w:before="240"/>
      </w:pPr>
      <w:r>
        <w:rPr>
          <w:rFonts w:ascii="Open Sans" w:cs="Open Sans" w:eastAsia="Open Sans" w:hAnsi="Open Sans"/>
          <w:b/>
          <w:bCs/>
          <w:color w:val="000000"/>
          <w:sz w:val="24"/>
          <w:szCs w:val="24"/>
        </w:rPr>
        <w:t xml:space="preserve">6. Resources, Staff and Governance</w:t>
      </w:r>
    </w:p>
    <w:p>
      <w:pPr>
        <w:spacing w:after="80" w:before="80"/>
      </w:pPr>
      <w:r>
        <w:rPr>
          <w:rFonts w:ascii="Open Sans" w:cs="Open Sans" w:eastAsia="Open Sans" w:hAnsi="Open Sans"/>
          <w:b/>
          <w:bCs/>
          <w:i w:val="false"/>
          <w:iCs w:val="false"/>
          <w:color w:val="000000"/>
          <w:sz w:val="20"/>
          <w:szCs w:val="20"/>
        </w:rPr>
        <w:t xml:space="preserve">Indicative reading</w:t>
      </w:r>
    </w:p>
    <w:p>
      <w:pPr>
        <w:spacing w:after="60" w:before="60"/>
        <w:ind w:left="300" w:hanging="300"/>
      </w:pPr>
      <w:r>
        <w:rPr>
          <w:rFonts w:ascii="Open Sans" w:cs="Open Sans" w:eastAsia="Open Sans" w:hAnsi="Open Sans"/>
          <w:b/>
          <w:bCs/>
          <w:sz w:val="18"/>
          <w:szCs w:val="18"/>
        </w:rPr>
        <w:t xml:space="preserve">Core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Hyndman, R. J., Athanasopoulos, G., Garza, A., Challu, C., Mergenthaler, M. and Olivares, K. G. (2026) Forecasting: Principles and Practice, the Pythonic Way. OTexts, Melbourne. Available at otexts.com/fpppy; a print edition is also published. Primary text for units 1 to 5. This is the Python edition of the standard reference and is adopted specifically so that the module’s working language and its principal text agree. Dependency: the online edition is continuously updated, so reading references must cite an access date and be re-checked each cycle; the neural-network and foundation-model chapters lie outside this module’s boundary and are not set.</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Hyndman, R. J. and Athanasopoulos, G. (2021) Forecasting: Principles and Practice. 3rd edition. OTexts, Melbourne. ISBN 978-0-9875071-3-6. Retained as the reference edition, freely available at otexts.com/fpp3. Dependency: R throughout; cited for its exposition, not for its code, with students directed to the Python edition above for practical work.</w:t>
      </w:r>
    </w:p>
    <w:p>
      <w:pPr>
        <w:spacing w:after="60" w:before="60"/>
        <w:ind w:left="300" w:hanging="300"/>
      </w:pPr>
      <w:r>
        <w:rPr>
          <w:rFonts w:ascii="Open Sans" w:cs="Open Sans" w:eastAsia="Open Sans" w:hAnsi="Open Sans"/>
          <w:b/>
          <w:bCs/>
          <w:sz w:val="18"/>
          <w:szCs w:val="18"/>
        </w:rPr>
        <w:t xml:space="preserve">Supplementary</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Nielsen, A. (2019) Practical Time Series Analysis: Prediction with Statistics and Machine Learning. O’Reilly Media. Used for the workflow and evaluation material in unit 4.</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Box, G. E. P., Jenkins, G. M., Reinsel, G. C. and Ljung, G. M. (2015) Time Series Analysis: Forecasting and Control. 5th edition. Wiley. Reference only. Dependency: substantially beyond this module’s level; cited so that the ARIMA lineage is properly attributed, not as directed reading.</w:t>
      </w:r>
    </w:p>
    <w:p>
      <w:pPr>
        <w:spacing w:after="60" w:before="60"/>
        <w:ind w:left="300" w:hanging="300"/>
      </w:pPr>
      <w:r>
        <w:rPr>
          <w:rFonts w:ascii="Open Sans" w:cs="Open Sans" w:eastAsia="Open Sans" w:hAnsi="Open Sans"/>
          <w:b/>
          <w:bCs/>
          <w:sz w:val="18"/>
          <w:szCs w:val="18"/>
        </w:rPr>
        <w:t xml:space="preserve">School-produced</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A series library with documented trend, seasonality and stationarity characteristics, correlation-plot reading worksheets, and a backtesting template that enforces time order. Confirmed at teaching-plan stage.</w:t>
      </w:r>
    </w:p>
    <w:p>
      <w:pPr>
        <w:spacing w:after="80" w:before="200"/>
      </w:pPr>
      <w:r>
        <w:rPr>
          <w:rFonts w:ascii="Open Sans" w:cs="Open Sans" w:eastAsia="Open Sans" w:hAnsi="Open Sans"/>
          <w:b/>
          <w:bCs/>
          <w:i w:val="false"/>
          <w:iCs w:val="false"/>
          <w:color w:val="000000"/>
          <w:sz w:val="20"/>
          <w:szCs w:val="20"/>
        </w:rPr>
        <w:t xml:space="preserve">Staffing</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3000"/>
        <w:gridCol w:w="3000"/>
      </w:tblGrid>
      <w:tr>
        <w:trPr>
          <w:tblHeader/>
        </w:trPr>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Role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Name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Domain credential</w:t>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1</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2</w:t>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External module auditor</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bl>
    <w:p>
      <w:pPr>
        <w:spacing w:after="80" w:before="140"/>
      </w:pPr>
      <w:r>
        <w:rPr>
          <w:rFonts w:ascii="Open Sans" w:cs="Open Sans" w:eastAsia="Open Sans" w:hAnsi="Open Sans"/>
          <w:b w:val="false"/>
          <w:bCs w:val="false"/>
          <w:i w:val="false"/>
          <w:iCs w:val="false"/>
          <w:color w:val="000000"/>
          <w:sz w:val="20"/>
          <w:szCs w:val="20"/>
        </w:rPr>
        <w:t xml:space="preserve">Domain-expertise statement: delivery requires statistics and forecasting expertise. Shared staffing with Statistical Methods and Analysis is the natural arrangement and is the assumption on which this module’s viability at 2 credits rests; if the two are staffed separately, the sequencing dependency between them needs active management rather than trust.</w:t>
      </w:r>
    </w:p>
    <w:p>
      <w:pPr>
        <w:spacing w:after="80" w:before="200"/>
      </w:pPr>
      <w:r>
        <w:rPr>
          <w:rFonts w:ascii="Open Sans" w:cs="Open Sans" w:eastAsia="Open Sans" w:hAnsi="Open Sans"/>
          <w:b/>
          <w:bCs/>
          <w:i w:val="false"/>
          <w:iCs w:val="false"/>
          <w:color w:val="000000"/>
          <w:sz w:val="20"/>
          <w:szCs w:val="20"/>
        </w:rPr>
        <w:t xml:space="preserve">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2600"/>
        <w:gridCol w:w="4600"/>
      </w:tblGrid>
      <w:tr>
        <w:trPr>
          <w:tblHeader/>
        </w:trPr>
        <w:tc>
          <w:tcPr>
            <w:tcW w:type="dxa" w:w="1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Version</w:t>
            </w:r>
          </w:p>
        </w:tc>
        <w:tc>
          <w:tcPr>
            <w:tcW w:type="dxa" w:w="2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Date</w:t>
            </w:r>
          </w:p>
        </w:tc>
        <w:tc>
          <w:tcPr>
            <w:tcW w:type="dxa" w:w="4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Status</w:t>
            </w:r>
          </w:p>
        </w:tc>
      </w:tr>
      <w:tr>
        <w:tc>
          <w:tcPr>
            <w:tcW w:type="dxa" w:w="1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1.0</w:t>
            </w:r>
          </w:p>
        </w:tc>
        <w:tc>
          <w:tcPr>
            <w:tcW w:type="dxa" w:w="2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c>
          <w:tcPr>
            <w:tcW w:type="dxa" w:w="4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Issued for review</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2026-07-22T03:12:17.179Z</dcterms:created>
  <dcterms:modified xsi:type="dcterms:W3CDTF">2026-07-22T03:12:17.179Z</dcterms:modified>
</cp:coreProperties>
</file>

<file path=docProps/custom.xml><?xml version="1.0" encoding="utf-8"?>
<Properties xmlns="http://schemas.openxmlformats.org/officeDocument/2006/custom-properties" xmlns:vt="http://schemas.openxmlformats.org/officeDocument/2006/docPropsVTypes"/>
</file>