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line="274"/>
      </w:pPr>
      <w:r>
        <w:rPr>
          <w:rFonts w:ascii="Open Sans" w:cs="Open Sans" w:eastAsia="Open Sans" w:hAnsi="Open Sans"/>
          <w:b w:val="false"/>
          <w:bCs w:val="false"/>
          <w:i w:val="false"/>
          <w:iCs w:val="false"/>
          <w:color w:val="1A1A1A"/>
          <w:sz w:val="21"/>
          <w:szCs w:val="21"/>
        </w:rPr>
        <w:t xml:space="preserve"/>
      </w:r>
    </w:p>
    <w:p>
      <w:pPr>
        <w:spacing w:after="50" w:line="274"/>
      </w:pPr>
      <w:r>
        <w:rPr>
          <w:rFonts w:ascii="Open Sans" w:cs="Open Sans" w:eastAsia="Open Sans" w:hAnsi="Open Sans"/>
          <w:b/>
          <w:bCs/>
          <w:i w:val="false"/>
          <w:iCs w:val="false"/>
          <w:color w:val="1A1A1A"/>
          <w:sz w:val="27"/>
          <w:szCs w:val="27"/>
        </w:rPr>
        <w:t xml:space="preserve">National Institute of Business Management</w:t>
      </w:r>
    </w:p>
    <w:p>
      <w:pPr>
        <w:spacing w:after="350" w:line="274"/>
      </w:pPr>
      <w:r>
        <w:rPr>
          <w:rFonts w:ascii="Open Sans" w:cs="Open Sans" w:eastAsia="Open Sans" w:hAnsi="Open Sans"/>
          <w:b w:val="false"/>
          <w:bCs w:val="false"/>
          <w:i w:val="false"/>
          <w:iCs w:val="false"/>
          <w:color w:val="595959"/>
          <w:sz w:val="23"/>
          <w:szCs w:val="23"/>
        </w:rPr>
        <w:t xml:space="preserve">School of Computing and Engineering</w:t>
      </w:r>
    </w:p>
    <w:p>
      <w:pPr>
        <w:pBdr>
          <w:bottom w:val="single" w:color="595959" w:sz="16"/>
        </w:pBdr>
        <w:spacing w:after="280"/>
      </w:pPr>
      <w:r>
        <w:rPr>
          <w:rFonts w:ascii="Open Sans" w:cs="Open Sans" w:eastAsia="Open Sans" w:hAnsi="Open Sans"/>
          <w:b w:val="false"/>
          <w:bCs w:val="false"/>
          <w:i w:val="false"/>
          <w:iCs w:val="false"/>
          <w:color w:val="1A1A1A"/>
          <w:sz w:val="21"/>
          <w:szCs w:val="21"/>
        </w:rPr>
        <w:t xml:space="preserve"/>
      </w:r>
    </w:p>
    <w:p>
      <w:pPr>
        <w:spacing w:after="100" w:line="274"/>
      </w:pPr>
      <w:r>
        <w:rPr>
          <w:rFonts w:ascii="Open Sans" w:cs="Open Sans" w:eastAsia="Open Sans" w:hAnsi="Open Sans"/>
          <w:b/>
          <w:bCs/>
          <w:i w:val="false"/>
          <w:iCs w:val="false"/>
          <w:color w:val="1A1A1A"/>
          <w:sz w:val="31"/>
          <w:szCs w:val="31"/>
        </w:rPr>
        <w:t xml:space="preserve">Module Descriptor - Programming Concepts</w:t>
      </w:r>
    </w:p>
    <w:p>
      <w:pPr>
        <w:spacing w:after="350" w:line="274"/>
      </w:pPr>
      <w:r>
        <w:rPr>
          <w:rFonts w:ascii="Open Sans" w:cs="Open Sans" w:eastAsia="Open Sans" w:hAnsi="Open Sans"/>
          <w:b w:val="false"/>
          <w:bCs w:val="false"/>
          <w:i w:val="false"/>
          <w:iCs w:val="false"/>
          <w:color w:val="595959"/>
          <w:sz w:val="22"/>
          <w:szCs w:val="22"/>
        </w:rPr>
        <w:t xml:space="preserve">NB-SOCE-L3-CC-TT-01  ·  Cluster Common (Tier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Field</w:t>
            </w:r>
          </w:p>
        </w:tc>
        <w:tc>
          <w:tcPr>
            <w:tcW w:type="dxa" w:w="65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Value</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Document status</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Draft for Review - v1.1</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Purpose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Specification-stage module descriptor</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Prepared by</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SOCE Curriculum Committee</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Date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July 2026</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Authoritative sources</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School curriculum decision records; the Sri Lanka Qualifications Framework (University Grants Commission, 2015)</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Applies to</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CS(SE), CS(AI&amp;DS)</w:t>
            </w:r>
          </w:p>
        </w:tc>
      </w:tr>
    </w:tbl>
    <w:p>
      <w:r>
        <w:br w:type="page"/>
      </w:r>
    </w:p>
    <w:p>
      <w:pPr>
        <w:pStyle w:val="Heading1"/>
        <w:spacing w:after="150" w:before="320"/>
      </w:pPr>
      <w:r>
        <w:rPr>
          <w:rFonts w:ascii="Open Sans" w:cs="Open Sans" w:eastAsia="Open Sans" w:hAnsi="Open Sans"/>
          <w:b/>
          <w:bCs/>
          <w:i w:val="false"/>
          <w:iCs w:val="false"/>
          <w:color w:val="1A1A1A"/>
          <w:sz w:val="29"/>
          <w:szCs w:val="29"/>
        </w:rPr>
        <w:t xml:space="preserve">Module Descriptor: Programming Concepts</w:t>
      </w:r>
    </w:p>
    <w:p>
      <w:pPr>
        <w:pStyle w:val="Heading2"/>
        <w:spacing w:after="130" w:before="240"/>
      </w:pPr>
      <w:r>
        <w:rPr>
          <w:rFonts w:ascii="Open Sans" w:cs="Open Sans" w:eastAsia="Open Sans" w:hAnsi="Open Sans"/>
          <w:b/>
          <w:bCs/>
          <w:i w:val="false"/>
          <w:iCs w:val="false"/>
          <w:color w:val="3F3F3F"/>
          <w:sz w:val="24"/>
          <w:szCs w:val="24"/>
        </w:rPr>
        <w:t xml:space="preserve">1. Module Identity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Field</w:t>
            </w:r>
          </w:p>
        </w:tc>
        <w:tc>
          <w:tcPr>
            <w:tcW w:type="dxa" w:w="65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Value</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code</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NB-SOCE-L3-CC-TT-01</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title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Programming Concepts</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Scope / type</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Cluster common (Tier 2) · Common / Taught</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SLQF level / credits</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Level 3 (Year 1)  ·  4 credits  ·  200 notional hours (1 credit = 50 hours)</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Carried by</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CS(SE), CS(AI&amp;DS). ITB overrides with Programming for Data and Analytics, whose foundational core is aligned to this boundary for transit and recognition of prior learning. NEC does not carry it (Applied Programming for Networks and Security).</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Prerequisites</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None beyond the common foundation</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Delivery mode</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Session-based: 3-hour blocks; 22 lecture sessions plus tutorials, practicals and demonstration per the hours profile</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Hours profile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Taught 4-credit</w:t>
            </w:r>
          </w:p>
        </w:tc>
      </w:tr>
    </w:tbl>
    <w:p>
      <w:pPr>
        <w:pStyle w:val="Heading2"/>
        <w:spacing w:after="130" w:before="240"/>
      </w:pPr>
      <w:r>
        <w:rPr>
          <w:rFonts w:ascii="Open Sans" w:cs="Open Sans" w:eastAsia="Open Sans" w:hAnsi="Open Sans"/>
          <w:b/>
          <w:bCs/>
          <w:i w:val="false"/>
          <w:iCs w:val="false"/>
          <w:color w:val="3F3F3F"/>
          <w:sz w:val="24"/>
          <w:szCs w:val="24"/>
        </w:rPr>
        <w:t xml:space="preserve">2. Module Purpose and Aims</w:t>
      </w:r>
    </w:p>
    <w:p>
      <w:pPr>
        <w:spacing w:after="150" w:line="274"/>
      </w:pPr>
      <w:r>
        <w:rPr>
          <w:rFonts w:ascii="Open Sans" w:cs="Open Sans" w:eastAsia="Open Sans" w:hAnsi="Open Sans"/>
          <w:b w:val="false"/>
          <w:bCs w:val="false"/>
          <w:i w:val="false"/>
          <w:iCs w:val="false"/>
          <w:color w:val="1A1A1A"/>
          <w:sz w:val="21"/>
          <w:szCs w:val="21"/>
        </w:rPr>
        <w:t xml:space="preserve">To turn the language-independent reasoning of Algorithmic Thinking into working code: structured programs in a production language, with control structures, functions, modular organisation and core data structures used in practice, and the testing and debugging habits of a working programmer. The module is the cluster's programming teach-source; downstream depth belongs to Programming, Data Structures and Algorithms I and to pathway application stacks.</w:t>
      </w:r>
    </w:p>
    <w:p>
      <w:pPr>
        <w:pStyle w:val="Heading3"/>
        <w:spacing w:after="110" w:before="180"/>
      </w:pPr>
      <w:r>
        <w:rPr>
          <w:rFonts w:ascii="Open Sans" w:cs="Open Sans" w:eastAsia="Open Sans" w:hAnsi="Open Sans"/>
          <w:b/>
          <w:bCs/>
          <w:i w:val="false"/>
          <w:iCs w:val="false"/>
          <w:color w:val="595959"/>
          <w:sz w:val="21"/>
          <w:szCs w:val="21"/>
        </w:rPr>
        <w:t xml:space="preserve">Specification Boundary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2"/>
              <w:left w:val="single" w:color="595959" w:sz="22"/>
              <w:bottom w:val="single" w:color="CCCCCC" w:sz="2"/>
              <w:right w:val="single" w:color="CCCCCC" w:sz="2"/>
            </w:tcBorders>
            <w:shd w:fill="F7F7F7" w:val="clear"/>
            <w:tcMar>
              <w:top w:type="dxa" w:w="110"/>
              <w:left w:type="dxa" w:w="150"/>
              <w:bottom w:type="dxa" w:w="110"/>
              <w:right w:type="dxa" w:w="150"/>
            </w:tcMar>
          </w:tcPr>
          <w:p>
            <w:pPr>
              <w:spacing w:after="70"/>
            </w:pPr>
            <w:r>
              <w:rPr>
                <w:rFonts w:ascii="Open Sans" w:cs="Open Sans" w:eastAsia="Open Sans" w:hAnsi="Open Sans"/>
                <w:b/>
                <w:bCs/>
                <w:i w:val="false"/>
                <w:iCs w:val="false"/>
                <w:color w:val="1A1A1A"/>
                <w:sz w:val="20"/>
                <w:szCs w:val="20"/>
              </w:rPr>
              <w:t xml:space="preserve">Covers: </w:t>
            </w:r>
            <w:r>
              <w:rPr>
                <w:rFonts w:ascii="Open Sans" w:cs="Open Sans" w:eastAsia="Open Sans" w:hAnsi="Open Sans"/>
                <w:b w:val="false"/>
                <w:bCs w:val="false"/>
                <w:i w:val="false"/>
                <w:iCs w:val="false"/>
                <w:color w:val="1A1A1A"/>
                <w:sz w:val="20"/>
                <w:szCs w:val="20"/>
              </w:rPr>
              <w:t xml:space="preserve">production-language programming; control and data structures in code; functions and modularity; introduction to the working language and development tooling.</w:t>
            </w:r>
          </w:p>
          <w:p>
            <w:pPr>
              <w:spacing w:after="70"/>
            </w:pPr>
            <w:r>
              <w:rPr>
                <w:rFonts w:ascii="Open Sans" w:cs="Open Sans" w:eastAsia="Open Sans" w:hAnsi="Open Sans"/>
                <w:b/>
                <w:bCs/>
                <w:i w:val="false"/>
                <w:iCs w:val="false"/>
                <w:color w:val="1A1A1A"/>
                <w:sz w:val="20"/>
                <w:szCs w:val="20"/>
              </w:rPr>
              <w:t xml:space="preserve">Does NOT cover: </w:t>
            </w:r>
            <w:r>
              <w:rPr>
                <w:rFonts w:ascii="Open Sans" w:cs="Open Sans" w:eastAsia="Open Sans" w:hAnsi="Open Sans"/>
                <w:b w:val="false"/>
                <w:bCs w:val="false"/>
                <w:i w:val="false"/>
                <w:iCs w:val="false"/>
                <w:color w:val="1A1A1A"/>
                <w:sz w:val="20"/>
                <w:szCs w:val="20"/>
              </w:rPr>
              <w:t xml:space="preserve">data-structure and algorithm depth (Programming, Data Structures and Algorithms I); pathway-owned applied stacks and secure-coding depth (owners named in each pathway's records).</w:t>
            </w:r>
          </w:p>
          <w:p>
            <w:pPr>
              <w:spacing w:after="70"/>
            </w:pPr>
            <w:r>
              <w:rPr>
                <w:rFonts w:ascii="Open Sans" w:cs="Open Sans" w:eastAsia="Open Sans" w:hAnsi="Open Sans"/>
                <w:b w:val="false"/>
                <w:bCs w:val="false"/>
                <w:i/>
                <w:iCs/>
                <w:color w:val="1A1A1A"/>
                <w:sz w:val="19"/>
                <w:szCs w:val="19"/>
              </w:rPr>
              <w:t xml:space="preserve">The boundary text is identical wherever the module is carried and changes only through the School's formal change-control process.</w:t>
            </w:r>
          </w:p>
        </w:tc>
      </w:tr>
    </w:tbl>
    <w:p>
      <w:pPr>
        <w:pStyle w:val="Heading2"/>
        <w:spacing w:after="130" w:before="240"/>
      </w:pPr>
      <w:r>
        <w:rPr>
          <w:rFonts w:ascii="Open Sans" w:cs="Open Sans" w:eastAsia="Open Sans" w:hAnsi="Open Sans"/>
          <w:b/>
          <w:bCs/>
          <w:i w:val="false"/>
          <w:iCs w:val="false"/>
          <w:color w:val="3F3F3F"/>
          <w:sz w:val="24"/>
          <w:szCs w:val="24"/>
        </w:rPr>
        <w:t xml:space="preserve">3. Learning Outcomes</w:t>
      </w:r>
    </w:p>
    <w:p>
      <w:pPr>
        <w:spacing w:after="150" w:line="274"/>
      </w:pPr>
      <w:r>
        <w:rPr>
          <w:rFonts w:ascii="Open Sans" w:cs="Open Sans" w:eastAsia="Open Sans" w:hAnsi="Open Sans"/>
          <w:b w:val="false"/>
          <w:bCs w:val="false"/>
          <w:i w:val="false"/>
          <w:iCs w:val="false"/>
          <w:color w:val="1A1A1A"/>
          <w:sz w:val="21"/>
          <w:szCs w:val="21"/>
        </w:rPr>
        <w:t xml:space="preserve">On successful completion of this module, the student will be able 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726"/>
        <w:gridCol w:w="2500"/>
      </w:tblGrid>
      <w:tr>
        <w:trPr>
          <w:tblHeader/>
        </w:trPr>
        <w:tc>
          <w:tcPr>
            <w:tcW w:type="dxa" w:w="8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Ref</w:t>
            </w:r>
          </w:p>
        </w:tc>
        <w:tc>
          <w:tcPr>
            <w:tcW w:type="dxa" w:w="57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Intended Learning Outcome</w:t>
            </w:r>
          </w:p>
        </w:tc>
        <w:tc>
          <w:tcPr>
            <w:tcW w:type="dxa" w:w="2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Bloom level</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LO1</w:t>
            </w:r>
          </w:p>
        </w:tc>
        <w:tc>
          <w:tcPr>
            <w:tcW w:type="dxa" w:w="57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Implement structured programs using control structures, functions and modular organisation.</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Apply</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LO2</w:t>
            </w:r>
          </w:p>
        </w:tc>
        <w:tc>
          <w:tcPr>
            <w:tcW w:type="dxa" w:w="57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Use core data structures in code to represent and manipulate data.</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Apply</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LO3</w:t>
            </w:r>
          </w:p>
        </w:tc>
        <w:tc>
          <w:tcPr>
            <w:tcW w:type="dxa" w:w="57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Translate algorithmic designs expressed in pseudocode and flow representations into working programs.</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Apply</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LO4</w:t>
            </w:r>
          </w:p>
        </w:tc>
        <w:tc>
          <w:tcPr>
            <w:tcW w:type="dxa" w:w="57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Apply systematic testing and debugging practices to locate and correct defects.</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Apply / Analyse</w:t>
            </w:r>
          </w:p>
        </w:tc>
      </w:tr>
    </w:tbl>
    <w:p>
      <w:pPr>
        <w:pStyle w:val="Heading2"/>
        <w:spacing w:after="130" w:before="240"/>
      </w:pPr>
      <w:r>
        <w:rPr>
          <w:rFonts w:ascii="Open Sans" w:cs="Open Sans" w:eastAsia="Open Sans" w:hAnsi="Open Sans"/>
          <w:b/>
          <w:bCs/>
          <w:i w:val="false"/>
          <w:iCs w:val="false"/>
          <w:color w:val="3F3F3F"/>
          <w:sz w:val="24"/>
          <w:szCs w:val="24"/>
        </w:rPr>
        <w:t xml:space="preserve">4. Curriculum and Delivery</w:t>
      </w:r>
    </w:p>
    <w:p>
      <w:pPr>
        <w:pStyle w:val="Heading3"/>
        <w:spacing w:after="110" w:before="180"/>
      </w:pPr>
      <w:r>
        <w:rPr>
          <w:rFonts w:ascii="Open Sans" w:cs="Open Sans" w:eastAsia="Open Sans" w:hAnsi="Open Sans"/>
          <w:b/>
          <w:bCs/>
          <w:i w:val="false"/>
          <w:iCs w:val="false"/>
          <w:color w:val="595959"/>
          <w:sz w:val="21"/>
          <w:szCs w:val="21"/>
        </w:rPr>
        <w:t xml:space="preserve">Indicative Syllabus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6226"/>
        <w:gridCol w:w="2000"/>
      </w:tblGrid>
      <w:tr>
        <w:trPr>
          <w:tblHeader/>
        </w:trPr>
        <w:tc>
          <w:tcPr>
            <w:tcW w:type="dxa" w:w="8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Unit</w:t>
            </w:r>
          </w:p>
        </w:tc>
        <w:tc>
          <w:tcPr>
            <w:tcW w:type="dxa" w:w="62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Content</w:t>
            </w:r>
          </w:p>
        </w:tc>
        <w:tc>
          <w:tcPr>
            <w:tcW w:type="dxa" w:w="20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Lecture hours</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U1</w:t>
            </w:r>
          </w:p>
        </w:tc>
        <w:tc>
          <w:tcPr>
            <w:tcW w:type="dxa" w:w="6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From pseudocode to code: the working environment, tooling, and from source to machine (compilation and the memory model, with a first look at C)</w:t>
            </w:r>
          </w:p>
        </w:tc>
        <w:tc>
          <w:tcPr>
            <w:tcW w:type="dxa" w:w="2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6</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U2</w:t>
            </w:r>
          </w:p>
        </w:tc>
        <w:tc>
          <w:tcPr>
            <w:tcW w:type="dxa" w:w="62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Variables, types, expressions and control structures</w:t>
            </w:r>
          </w:p>
        </w:tc>
        <w:tc>
          <w:tcPr>
            <w:tcW w:type="dxa" w:w="20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12</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U3</w:t>
            </w:r>
          </w:p>
        </w:tc>
        <w:tc>
          <w:tcPr>
            <w:tcW w:type="dxa" w:w="6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Functions, modularity and program organisation</w:t>
            </w:r>
          </w:p>
        </w:tc>
        <w:tc>
          <w:tcPr>
            <w:tcW w:type="dxa" w:w="2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12</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U4</w:t>
            </w:r>
          </w:p>
        </w:tc>
        <w:tc>
          <w:tcPr>
            <w:tcW w:type="dxa" w:w="62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Core data structures in code: sequences, mappings, strings</w:t>
            </w:r>
          </w:p>
        </w:tc>
        <w:tc>
          <w:tcPr>
            <w:tcW w:type="dxa" w:w="20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12</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U5</w:t>
            </w:r>
          </w:p>
        </w:tc>
        <w:tc>
          <w:tcPr>
            <w:tcW w:type="dxa" w:w="6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File handling and simple input and output</w:t>
            </w:r>
          </w:p>
        </w:tc>
        <w:tc>
          <w:tcPr>
            <w:tcW w:type="dxa" w:w="2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6</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U6</w:t>
            </w:r>
          </w:p>
        </w:tc>
        <w:tc>
          <w:tcPr>
            <w:tcW w:type="dxa" w:w="62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Error handling, testing habits and debugging</w:t>
            </w:r>
          </w:p>
        </w:tc>
        <w:tc>
          <w:tcPr>
            <w:tcW w:type="dxa" w:w="20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9</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U7</w:t>
            </w:r>
          </w:p>
        </w:tc>
        <w:tc>
          <w:tcPr>
            <w:tcW w:type="dxa" w:w="6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Integrative build: small structured programs from algorithmic designs</w:t>
            </w:r>
          </w:p>
        </w:tc>
        <w:tc>
          <w:tcPr>
            <w:tcW w:type="dxa" w:w="2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9</w:t>
            </w:r>
          </w:p>
        </w:tc>
      </w:tr>
      <w:tr>
        <w:tc>
          <w:tcPr>
            <w:tcW w:type="dxa" w:w="800"/>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
            </w:r>
          </w:p>
        </w:tc>
        <w:tc>
          <w:tcPr>
            <w:tcW w:type="dxa" w:w="6226"/>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Total lecture hours</w:t>
            </w:r>
          </w:p>
        </w:tc>
        <w:tc>
          <w:tcPr>
            <w:tcW w:type="dxa" w:w="2000"/>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66</w:t>
            </w:r>
          </w:p>
        </w:tc>
      </w:tr>
    </w:tbl>
    <w:p>
      <w:pPr>
        <w:spacing w:after="150" w:line="274"/>
      </w:pPr>
      <w:r>
        <w:rPr>
          <w:rFonts w:ascii="Open Sans" w:cs="Open Sans" w:eastAsia="Open Sans" w:hAnsi="Open Sans"/>
          <w:b w:val="false"/>
          <w:bCs w:val="false"/>
          <w:i w:val="false"/>
          <w:iCs w:val="false"/>
          <w:color w:val="1A1A1A"/>
          <w:sz w:val="20"/>
          <w:szCs w:val="20"/>
        </w:rPr>
        <w:t xml:space="preserve">66 lecture hours are delivered as 22 three-hour sessions, with practicals and laboratory hours carrying hands-on coding throughout. THE WORKING LANGUAGE IS JAVA: the cluster working language for this module and Programming, Data Structures and Algorithms I. U1 carries a bounded compilation-and-memory strand with a first look at C, justified by the NB6035CEM memory-model assumption on the SE destination and the bridge from Digital Electronics and Logic Design; it is exposure, not a C teaching commitment.</w:t>
      </w:r>
    </w:p>
    <w:p>
      <w:pPr>
        <w:pStyle w:val="Heading3"/>
        <w:spacing w:after="110" w:before="180"/>
      </w:pPr>
      <w:r>
        <w:rPr>
          <w:rFonts w:ascii="Open Sans" w:cs="Open Sans" w:eastAsia="Open Sans" w:hAnsi="Open Sans"/>
          <w:b/>
          <w:bCs/>
          <w:i w:val="false"/>
          <w:iCs w:val="false"/>
          <w:color w:val="595959"/>
          <w:sz w:val="21"/>
          <w:szCs w:val="21"/>
        </w:rPr>
        <w:t xml:space="preserve">Teaching and Learning Hours (SLQF)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26"/>
        <w:gridCol w:w="2500"/>
      </w:tblGrid>
      <w:tr>
        <w:trPr>
          <w:tblHeader/>
        </w:trPr>
        <w:tc>
          <w:tcPr>
            <w:tcW w:type="dxa" w:w="65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Component</w:t>
            </w:r>
          </w:p>
        </w:tc>
        <w:tc>
          <w:tcPr>
            <w:tcW w:type="dxa" w:w="2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Hours</w:t>
            </w:r>
          </w:p>
        </w:tc>
      </w:tr>
      <w:tr>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Lectures (fixed)</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66</w:t>
            </w:r>
          </w:p>
        </w:tc>
      </w:tr>
      <w:tr>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Tutorials</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15</w:t>
            </w:r>
          </w:p>
        </w:tc>
      </w:tr>
      <w:tr>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Practicals / Laboratory</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30</w:t>
            </w:r>
          </w:p>
        </w:tc>
      </w:tr>
      <w:tr>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In-class assignments</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9</w:t>
            </w:r>
          </w:p>
        </w:tc>
      </w:tr>
      <w:tr>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Demonstration</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6</w:t>
            </w:r>
          </w:p>
        </w:tc>
      </w:tr>
      <w:tr>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Self-guided study</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74</w:t>
            </w:r>
          </w:p>
        </w:tc>
      </w:tr>
      <w:tr>
        <w:tc>
          <w:tcPr>
            <w:tcW w:type="dxa" w:w="6526"/>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Total</w:t>
            </w:r>
          </w:p>
        </w:tc>
        <w:tc>
          <w:tcPr>
            <w:tcW w:type="dxa" w:w="2500"/>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200</w:t>
            </w:r>
          </w:p>
        </w:tc>
      </w:tr>
    </w:tbl>
    <w:p>
      <w:pPr>
        <w:pStyle w:val="Heading2"/>
        <w:spacing w:after="130" w:before="240"/>
      </w:pPr>
      <w:r>
        <w:rPr>
          <w:rFonts w:ascii="Open Sans" w:cs="Open Sans" w:eastAsia="Open Sans" w:hAnsi="Open Sans"/>
          <w:b/>
          <w:bCs/>
          <w:i w:val="false"/>
          <w:iCs w:val="false"/>
          <w:color w:val="3F3F3F"/>
          <w:sz w:val="24"/>
          <w:szCs w:val="24"/>
        </w:rPr>
        <w:t xml:space="preserve">5. Assessment</w:t>
      </w:r>
    </w:p>
    <w:p>
      <w:pPr>
        <w:spacing w:after="150" w:line="274"/>
      </w:pPr>
      <w:r>
        <w:rPr>
          <w:rFonts w:ascii="Open Sans" w:cs="Open Sans" w:eastAsia="Open Sans" w:hAnsi="Open Sans"/>
          <w:b w:val="false"/>
          <w:bCs w:val="false"/>
          <w:i w:val="false"/>
          <w:iCs w:val="false"/>
          <w:color w:val="1A1A1A"/>
          <w:sz w:val="21"/>
          <w:szCs w:val="21"/>
        </w:rPr>
        <w:t xml:space="preserve">Weightings are confirmed at specification sign-off. Where no examination is listed, the module carries none by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2100"/>
        <w:gridCol w:w="1300"/>
        <w:gridCol w:w="1000"/>
      </w:tblGrid>
      <w:tr>
        <w:trPr>
          <w:tblHeader/>
        </w:trPr>
        <w:tc>
          <w:tcPr>
            <w:tcW w:type="dxa" w:w="1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Component</w:t>
            </w:r>
          </w:p>
        </w:tc>
        <w:tc>
          <w:tcPr>
            <w:tcW w:type="dxa" w:w="33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Task</w:t>
            </w:r>
          </w:p>
        </w:tc>
        <w:tc>
          <w:tcPr>
            <w:tcW w:type="dxa" w:w="21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Conditions</w:t>
            </w:r>
          </w:p>
        </w:tc>
        <w:tc>
          <w:tcPr>
            <w:tcW w:type="dxa" w:w="13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Outcomes assessed</w:t>
            </w:r>
          </w:p>
        </w:tc>
        <w:tc>
          <w:tcPr>
            <w:tcW w:type="dxa" w:w="10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Weight</w:t>
            </w:r>
          </w:p>
        </w:tc>
      </w:tr>
      <w:tr>
        <w:tc>
          <w:tcPr>
            <w:tcW w:type="dxa" w:w="1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Coursework</w:t>
            </w:r>
          </w:p>
        </w:tc>
        <w:tc>
          <w:tcPr>
            <w:tcW w:type="dxa" w:w="33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Programming portfolio: cumulative structured-program tasks culminating in the integrative build from an algorithmic design</w:t>
            </w:r>
          </w:p>
        </w:tc>
        <w:tc>
          <w:tcPr>
            <w:tcW w:type="dxa" w:w="21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Individual; take-home; graded; Viva/Presentation: None</w:t>
            </w:r>
          </w:p>
        </w:tc>
        <w:tc>
          <w:tcPr>
            <w:tcW w:type="dxa" w:w="13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LO1, LO2, LO3, LO4</w:t>
            </w:r>
          </w:p>
        </w:tc>
        <w:tc>
          <w:tcPr>
            <w:tcW w:type="dxa" w:w="1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60%</w:t>
            </w:r>
          </w:p>
        </w:tc>
      </w:tr>
      <w:tr>
        <w:tc>
          <w:tcPr>
            <w:tcW w:type="dxa" w:w="1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Coursework (in-class)</w:t>
            </w:r>
          </w:p>
        </w:tc>
        <w:tc>
          <w:tcPr>
            <w:tcW w:type="dxa" w:w="33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Supervised machine-based practical programming test; 2 hours, stated open resources, no communication tools</w:t>
            </w:r>
          </w:p>
        </w:tc>
        <w:tc>
          <w:tcPr>
            <w:tcW w:type="dxa" w:w="21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Individual; in-class (supervised); graded; Viva/Presentation: None</w:t>
            </w:r>
          </w:p>
        </w:tc>
        <w:tc>
          <w:tcPr>
            <w:tcW w:type="dxa" w:w="13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LO1, LO2, LO3</w:t>
            </w:r>
          </w:p>
        </w:tc>
        <w:tc>
          <w:tcPr>
            <w:tcW w:type="dxa" w:w="10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40%</w:t>
            </w:r>
          </w:p>
        </w:tc>
      </w:tr>
    </w:tbl>
    <w:p>
      <w:pPr>
        <w:spacing w:after="150" w:line="274"/>
      </w:pPr>
      <w:r>
        <w:rPr>
          <w:rFonts w:ascii="Open Sans" w:cs="Open Sans" w:eastAsia="Open Sans" w:hAnsi="Open Sans"/>
          <w:b w:val="false"/>
          <w:bCs w:val="false"/>
          <w:i w:val="false"/>
          <w:iCs w:val="false"/>
          <w:color w:val="1A1A1A"/>
          <w:sz w:val="20"/>
          <w:szCs w:val="20"/>
        </w:rPr>
        <w:t xml:space="preserve">Reassessment is by the failed component only, with an equivalent task, per School regulations. All assessment is conducted under the School's academic integrity policy, including its provisions on the use of generative AI.</w:t>
      </w:r>
    </w:p>
    <w:p>
      <w:pPr>
        <w:pStyle w:val="Heading2"/>
        <w:spacing w:after="130" w:before="240"/>
      </w:pPr>
      <w:r>
        <w:rPr>
          <w:rFonts w:ascii="Open Sans" w:cs="Open Sans" w:eastAsia="Open Sans" w:hAnsi="Open Sans"/>
          <w:b/>
          <w:bCs/>
          <w:i w:val="false"/>
          <w:iCs w:val="false"/>
          <w:color w:val="3F3F3F"/>
          <w:sz w:val="24"/>
          <w:szCs w:val="24"/>
        </w:rPr>
        <w:t xml:space="preserve">6. Resources, Staff and Governance</w:t>
      </w:r>
    </w:p>
    <w:p>
      <w:pPr>
        <w:pStyle w:val="Heading3"/>
        <w:spacing w:after="110" w:before="180"/>
      </w:pPr>
      <w:r>
        <w:rPr>
          <w:rFonts w:ascii="Open Sans" w:cs="Open Sans" w:eastAsia="Open Sans" w:hAnsi="Open Sans"/>
          <w:b/>
          <w:bCs/>
          <w:i w:val="false"/>
          <w:iCs w:val="false"/>
          <w:color w:val="595959"/>
          <w:sz w:val="21"/>
          <w:szCs w:val="21"/>
        </w:rPr>
        <w:t xml:space="preserve">Indicative Reading</w:t>
      </w:r>
    </w:p>
    <w:p>
      <w:pPr>
        <w:spacing w:after="60" w:line="274"/>
      </w:pPr>
      <w:r>
        <w:rPr>
          <w:rFonts w:ascii="Open Sans" w:cs="Open Sans" w:eastAsia="Open Sans" w:hAnsi="Open Sans"/>
          <w:b/>
          <w:bCs/>
          <w:i w:val="false"/>
          <w:iCs w:val="false"/>
          <w:color w:val="1A1A1A"/>
          <w:sz w:val="21"/>
          <w:szCs w:val="21"/>
        </w:rPr>
        <w:t xml:space="preserve">· </w:t>
      </w:r>
      <w:r>
        <w:rPr>
          <w:rFonts w:ascii="Open Sans" w:cs="Open Sans" w:eastAsia="Open Sans" w:hAnsi="Open Sans"/>
          <w:b w:val="false"/>
          <w:bCs w:val="false"/>
          <w:i w:val="false"/>
          <w:iCs w:val="false"/>
          <w:color w:val="1A1A1A"/>
          <w:sz w:val="20"/>
          <w:szCs w:val="20"/>
        </w:rPr>
        <w:t xml:space="preserve">Liang, Y. D., Introduction to Java Programming and Data Structures (Pearson) - primary text, foundational chapters within the boundary.</w:t>
      </w:r>
    </w:p>
    <w:p>
      <w:pPr>
        <w:spacing w:after="60" w:line="274"/>
      </w:pPr>
      <w:r>
        <w:rPr>
          <w:rFonts w:ascii="Open Sans" w:cs="Open Sans" w:eastAsia="Open Sans" w:hAnsi="Open Sans"/>
          <w:b/>
          <w:bCs/>
          <w:i w:val="false"/>
          <w:iCs w:val="false"/>
          <w:color w:val="1A1A1A"/>
          <w:sz w:val="21"/>
          <w:szCs w:val="21"/>
        </w:rPr>
        <w:t xml:space="preserve">· </w:t>
      </w:r>
      <w:r>
        <w:rPr>
          <w:rFonts w:ascii="Open Sans" w:cs="Open Sans" w:eastAsia="Open Sans" w:hAnsi="Open Sans"/>
          <w:b w:val="false"/>
          <w:bCs w:val="false"/>
          <w:i w:val="false"/>
          <w:iCs w:val="false"/>
          <w:color w:val="1A1A1A"/>
          <w:sz w:val="20"/>
          <w:szCs w:val="20"/>
        </w:rPr>
        <w:t xml:space="preserve">School-produced coding standards, problem sets and the pseudocode-to-code convention guide shared with Algorithmic Thinking, confirmed at teaching-plan stage.</w:t>
      </w:r>
    </w:p>
    <w:p>
      <w:pPr>
        <w:spacing w:after="150" w:line="274"/>
      </w:pPr>
      <w:r>
        <w:rPr>
          <w:rFonts w:ascii="Open Sans" w:cs="Open Sans" w:eastAsia="Open Sans" w:hAnsi="Open Sans"/>
          <w:b w:val="false"/>
          <w:bCs w:val="false"/>
          <w:i/>
          <w:iCs/>
          <w:color w:val="1A1A1A"/>
          <w:sz w:val="19"/>
          <w:szCs w:val="19"/>
        </w:rPr>
        <w:t xml:space="preserve">Reading lists are indicative and are confirmed by the module leaders; editions per current library holdings.</w:t>
      </w:r>
    </w:p>
    <w:p>
      <w:pPr>
        <w:pStyle w:val="Heading3"/>
        <w:spacing w:after="110" w:before="180"/>
      </w:pPr>
      <w:r>
        <w:rPr>
          <w:rFonts w:ascii="Open Sans" w:cs="Open Sans" w:eastAsia="Open Sans" w:hAnsi="Open Sans"/>
          <w:b/>
          <w:bCs/>
          <w:i w:val="false"/>
          <w:iCs w:val="false"/>
          <w:color w:val="595959"/>
          <w:sz w:val="21"/>
          <w:szCs w:val="21"/>
        </w:rPr>
        <w:t xml:space="preserve">Staffing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tblHeader/>
        </w:trPr>
        <w:tc>
          <w:tcPr>
            <w:tcW w:type="dxa" w:w="26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Role</w:t>
            </w:r>
          </w:p>
        </w:tc>
        <w:tc>
          <w:tcPr>
            <w:tcW w:type="dxa" w:w="32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Name</w:t>
            </w:r>
          </w:p>
        </w:tc>
        <w:tc>
          <w:tcPr>
            <w:tcW w:type="dxa" w:w="32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Domain credential</w:t>
            </w:r>
          </w:p>
        </w:tc>
      </w:tr>
      <w:tr>
        <w:tc>
          <w:tcPr>
            <w:tcW w:type="dxa" w:w="2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leader 1</w:t>
            </w:r>
          </w:p>
        </w:tc>
        <w:tc>
          <w:tcPr>
            <w:tcW w:type="dxa" w:w="32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3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r>
        <w:tc>
          <w:tcPr>
            <w:tcW w:type="dxa" w:w="26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leader 2</w:t>
            </w:r>
          </w:p>
        </w:tc>
        <w:tc>
          <w:tcPr>
            <w:tcW w:type="dxa" w:w="32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32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r>
        <w:tc>
          <w:tcPr>
            <w:tcW w:type="dxa" w:w="2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External module auditor</w:t>
            </w:r>
          </w:p>
        </w:tc>
        <w:tc>
          <w:tcPr>
            <w:tcW w:type="dxa" w:w="32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3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bl>
    <w:p>
      <w:pPr>
        <w:spacing w:after="150" w:line="274"/>
      </w:pPr>
      <w:r>
        <w:rPr>
          <w:rFonts w:ascii="Open Sans" w:cs="Open Sans" w:eastAsia="Open Sans" w:hAnsi="Open Sans"/>
          <w:b/>
          <w:bCs/>
          <w:i w:val="false"/>
          <w:iCs w:val="false"/>
          <w:color w:val="1A1A1A"/>
          <w:sz w:val="20"/>
          <w:szCs w:val="20"/>
        </w:rPr>
        <w:t xml:space="preserve">Domain-expertise statement: </w:t>
      </w:r>
      <w:r>
        <w:rPr>
          <w:rFonts w:ascii="Open Sans" w:cs="Open Sans" w:eastAsia="Open Sans" w:hAnsi="Open Sans"/>
          <w:b w:val="false"/>
          <w:bCs w:val="false"/>
          <w:i w:val="false"/>
          <w:iCs w:val="false"/>
          <w:color w:val="1A1A1A"/>
          <w:sz w:val="20"/>
          <w:szCs w:val="20"/>
        </w:rPr>
        <w:t xml:space="preserve">Taught from software-development expertise with current production-language practice; generic delivery is non-compliant.</w:t>
      </w:r>
    </w:p>
    <w:p>
      <w:pPr>
        <w:pStyle w:val="Heading3"/>
        <w:spacing w:after="110" w:before="180"/>
      </w:pPr>
      <w:r>
        <w:rPr>
          <w:rFonts w:ascii="Open Sans" w:cs="Open Sans" w:eastAsia="Open Sans" w:hAnsi="Open Sans"/>
          <w:b/>
          <w:bCs/>
          <w:i w:val="false"/>
          <w:iCs w:val="false"/>
          <w:color w:val="595959"/>
          <w:sz w:val="21"/>
          <w:szCs w:val="21"/>
        </w:rPr>
        <w:t xml:space="preserve">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600"/>
        <w:gridCol w:w="1826"/>
      </w:tblGrid>
      <w:tr>
        <w:trPr>
          <w:tblHeader/>
        </w:trPr>
        <w:tc>
          <w:tcPr>
            <w:tcW w:type="dxa" w:w="28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Stage</w:t>
            </w:r>
          </w:p>
        </w:tc>
        <w:tc>
          <w:tcPr>
            <w:tcW w:type="dxa" w:w="28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Name / Body</w:t>
            </w:r>
          </w:p>
        </w:tc>
        <w:tc>
          <w:tcPr>
            <w:tcW w:type="dxa" w:w="16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Date</w:t>
            </w:r>
          </w:p>
        </w:tc>
        <w:tc>
          <w:tcPr>
            <w:tcW w:type="dxa" w:w="18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Signature</w:t>
            </w:r>
          </w:p>
        </w:tc>
      </w:tr>
      <w:tr>
        <w:tc>
          <w:tcPr>
            <w:tcW w:type="dxa" w:w="2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leaders</w:t>
            </w:r>
          </w:p>
        </w:tc>
        <w:tc>
          <w:tcPr>
            <w:tcW w:type="dxa" w:w="2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8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r>
        <w:tc>
          <w:tcPr>
            <w:tcW w:type="dxa" w:w="2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External module auditor</w:t>
            </w:r>
          </w:p>
        </w:tc>
        <w:tc>
          <w:tcPr>
            <w:tcW w:type="dxa" w:w="2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6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8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r>
        <w:tc>
          <w:tcPr>
            <w:tcW w:type="dxa" w:w="2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Curriculum Committee</w:t>
            </w:r>
          </w:p>
        </w:tc>
        <w:tc>
          <w:tcPr>
            <w:tcW w:type="dxa" w:w="2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8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2026-07-20T09:22:51.212Z</dcterms:created>
  <dcterms:modified xsi:type="dcterms:W3CDTF">2026-07-20T09:22:51.212Z</dcterms:modified>
</cp:coreProperties>
</file>

<file path=docProps/custom.xml><?xml version="1.0" encoding="utf-8"?>
<Properties xmlns="http://schemas.openxmlformats.org/officeDocument/2006/custom-properties" xmlns:vt="http://schemas.openxmlformats.org/officeDocument/2006/docPropsVTypes"/>
</file>