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Data Models and Management Systems</w:t>
      </w:r>
    </w:p>
    <w:p>
      <w:pPr>
        <w:spacing w:after="350" w:line="274"/>
      </w:pPr>
      <w:r>
        <w:rPr>
          <w:rFonts w:ascii="Open Sans" w:cs="Open Sans" w:eastAsia="Open Sans" w:hAnsi="Open Sans"/>
          <w:b w:val="false"/>
          <w:bCs w:val="false"/>
          <w:i w:val="false"/>
          <w:iCs w:val="false"/>
          <w:color w:val="595959"/>
          <w:sz w:val="22"/>
          <w:szCs w:val="22"/>
        </w:rPr>
        <w:t xml:space="preserve">NB-SOCE-L3-CC-TT-02  ·  Cluster Common (Tier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ITB - the School's single SQL teach-source (the previous cycle</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Data Models and Management Systems</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NB-SOCE-L3-CC-TT-02</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Data Models and Management Systems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Cluster common (Tier 2)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4 credits  ·  200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CS(SE), CS(AI&amp;DS), ITB - the School's single SQL teach-source. NEC does not carry it (its Data Management and Security module owns data protection and secure operations, not modelling instruction).</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beyond the common foundation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22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4-credit</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establish how data is modelled, stored, queried and managed: entity-relationship and relational thinking, substantial SQL practice as the emphasis of the fourth credit, DBMS fundamentals at use level, and a systems view of storage and retrieval across structured and semi-structured data. The module is the cluster's single SQL teach-source; every carrier consumes rather than re-teaches.</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data-modelling concepts; relational-model foundations; structured and semi-structured data; a systems view of how data is stored and retrieved; DBMS fundamentals with SQL practice as the emphasis of the fourth credit.</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data-engineering and pipeline depth; production database administration (use and querying are in; administration remains out); relational schema design and normalisation at engineering level (owner: the pathway data-engineering provision where carried).</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Model data using entity-relationship and relational concepts.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Write SQL queries over relational data, including joins, aggregation and subqueries.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Explain the role and core functions of a database management system, including transactions and access control at awareness level.</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Interpret how structured and semi-structured data are stored and retrieved within systems.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Apply</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Data and the modelling view: entities, attributes, relationships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The relational model: relations, keys and integrity</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SQL practice I: single-table querying, filtering, ordering, functions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SQL practice II: joins, aggregation, grouping and subqueries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DBMS fundamentals: services of a DBMS, transactions and access control at use level</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Structured and semi-structured data; the systems view of storage and retrieval</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U7</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Integrative practice: from model to query on realistic cases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66</w:t>
            </w:r>
          </w:p>
        </w:tc>
      </w:tr>
    </w:tbl>
    <w:p>
      <w:pPr>
        <w:spacing w:after="150" w:line="274"/>
      </w:pPr>
      <w:r>
        <w:rPr>
          <w:rFonts w:ascii="Open Sans" w:cs="Open Sans" w:eastAsia="Open Sans" w:hAnsi="Open Sans"/>
          <w:b w:val="false"/>
          <w:bCs w:val="false"/>
          <w:i w:val="false"/>
          <w:iCs w:val="false"/>
          <w:color w:val="1A1A1A"/>
          <w:sz w:val="20"/>
          <w:szCs w:val="20"/>
        </w:rPr>
        <w:t xml:space="preserve">66 lecture hours are delivered as 22 three-hour sessions. U3, U4 and U7 total 30 lecture hours of direct SQL practice, with the practicals allocation adding hands-on laboratory time - the visible form of the fourth-credit emphasis.</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30</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74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200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Modelling-to-query practical: an entity-relationship model built and queried in SQL over a realistic case</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Examination</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Written examination including an SQL-writing section and DBMS concepts; 2 hours, closed resources, invigilated</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Graded</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Elmasri, R. and Navathe, S. B., Fundamentals of Database Systems (Pearson) - selected foundational chapters within the boundary.</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Connolly, T. and Begg, C., Database Systems (Pearson) - alternative text, selected chapters.</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SQL practice sets and the realistic-case pack for U7,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database-systems expertise with current SQL practice;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2026-07-20T09:10:52.779Z</dcterms:created>
  <dcterms:modified xsi:type="dcterms:W3CDTF">2026-07-20T09:10:52.779Z</dcterms:modified>
</cp:coreProperties>
</file>

<file path=docProps/custom.xml><?xml version="1.0" encoding="utf-8"?>
<Properties xmlns="http://schemas.openxmlformats.org/officeDocument/2006/custom-properties" xmlns:vt="http://schemas.openxmlformats.org/officeDocument/2006/docPropsVTypes"/>
</file>