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line="274"/>
      </w:pPr>
      <w:r>
        <w:rPr>
          <w:rFonts w:ascii="Open Sans" w:cs="Open Sans" w:eastAsia="Open Sans" w:hAnsi="Open Sans"/>
          <w:b w:val="false"/>
          <w:bCs w:val="false"/>
          <w:i w:val="false"/>
          <w:iCs w:val="false"/>
          <w:color w:val="1A1A1A"/>
          <w:sz w:val="21"/>
          <w:szCs w:val="21"/>
        </w:rPr>
        <w:t xml:space="preserve"/>
      </w:r>
    </w:p>
    <w:p>
      <w:pPr>
        <w:spacing w:after="50" w:line="274"/>
      </w:pPr>
      <w:r>
        <w:rPr>
          <w:rFonts w:ascii="Open Sans" w:cs="Open Sans" w:eastAsia="Open Sans" w:hAnsi="Open Sans"/>
          <w:b/>
          <w:bCs/>
          <w:i w:val="false"/>
          <w:iCs w:val="false"/>
          <w:color w:val="1A1A1A"/>
          <w:sz w:val="27"/>
          <w:szCs w:val="27"/>
        </w:rPr>
        <w:t xml:space="preserve">National Institute of Business Management</w:t>
      </w:r>
    </w:p>
    <w:p>
      <w:pPr>
        <w:spacing w:after="350" w:line="274"/>
      </w:pPr>
      <w:r>
        <w:rPr>
          <w:rFonts w:ascii="Open Sans" w:cs="Open Sans" w:eastAsia="Open Sans" w:hAnsi="Open Sans"/>
          <w:b w:val="false"/>
          <w:bCs w:val="false"/>
          <w:i w:val="false"/>
          <w:iCs w:val="false"/>
          <w:color w:val="595959"/>
          <w:sz w:val="23"/>
          <w:szCs w:val="23"/>
        </w:rPr>
        <w:t xml:space="preserve">School of Computing and Engineering</w:t>
      </w:r>
    </w:p>
    <w:p>
      <w:pPr>
        <w:pBdr>
          <w:bottom w:val="single" w:color="595959" w:sz="16"/>
        </w:pBdr>
        <w:spacing w:after="280"/>
      </w:pPr>
      <w:r>
        <w:rPr>
          <w:rFonts w:ascii="Open Sans" w:cs="Open Sans" w:eastAsia="Open Sans" w:hAnsi="Open Sans"/>
          <w:b w:val="false"/>
          <w:bCs w:val="false"/>
          <w:i w:val="false"/>
          <w:iCs w:val="false"/>
          <w:color w:val="1A1A1A"/>
          <w:sz w:val="21"/>
          <w:szCs w:val="21"/>
        </w:rPr>
        <w:t xml:space="preserve"/>
      </w:r>
    </w:p>
    <w:p>
      <w:pPr>
        <w:spacing w:after="100" w:line="274"/>
      </w:pPr>
      <w:r>
        <w:rPr>
          <w:rFonts w:ascii="Open Sans" w:cs="Open Sans" w:eastAsia="Open Sans" w:hAnsi="Open Sans"/>
          <w:b/>
          <w:bCs/>
          <w:i w:val="false"/>
          <w:iCs w:val="false"/>
          <w:color w:val="1A1A1A"/>
          <w:sz w:val="31"/>
          <w:szCs w:val="31"/>
        </w:rPr>
        <w:t xml:space="preserve">Module Descriptor - Effective Communication Skills I</w:t>
      </w:r>
    </w:p>
    <w:p>
      <w:pPr>
        <w:spacing w:after="350" w:line="274"/>
      </w:pPr>
      <w:r>
        <w:rPr>
          <w:rFonts w:ascii="Open Sans" w:cs="Open Sans" w:eastAsia="Open Sans" w:hAnsi="Open Sans"/>
          <w:b w:val="false"/>
          <w:bCs w:val="false"/>
          <w:i w:val="false"/>
          <w:iCs w:val="false"/>
          <w:color w:val="595959"/>
          <w:sz w:val="22"/>
          <w:szCs w:val="22"/>
        </w:rPr>
        <w:t xml:space="preserve">NB-SOCE-L3-CM-IS-01  ·  Institution-Wide Common  ·  Integrative Skills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Document status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Draft for Review - v1.0</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Purpose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Specification-stage module descriptor (skills module)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Prepared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SOCE Curriculum Committee</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Date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July 2026</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Authoritative sources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School curriculum decision records; the Sri Lanka Qualifications Framework (University Grants Commission, 2015)</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Applies to</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All four SOCE pathways</w:t>
            </w:r>
          </w:p>
        </w:tc>
      </w:tr>
    </w:tbl>
    <w:p>
      <w:r>
        <w:br w:type="page"/>
      </w:r>
    </w:p>
    <w:p>
      <w:pPr>
        <w:pStyle w:val="Heading1"/>
        <w:spacing w:after="150" w:before="320"/>
      </w:pPr>
      <w:r>
        <w:rPr>
          <w:rFonts w:ascii="Open Sans" w:cs="Open Sans" w:eastAsia="Open Sans" w:hAnsi="Open Sans"/>
          <w:b/>
          <w:bCs/>
          <w:i w:val="false"/>
          <w:iCs w:val="false"/>
          <w:color w:val="1A1A1A"/>
          <w:sz w:val="29"/>
          <w:szCs w:val="29"/>
        </w:rPr>
        <w:t xml:space="preserve">Module Descriptor: Effective Communication Skills I</w:t>
      </w:r>
    </w:p>
    <w:p>
      <w:pPr>
        <w:pStyle w:val="Heading2"/>
        <w:spacing w:after="130" w:before="240"/>
      </w:pPr>
      <w:r>
        <w:rPr>
          <w:rFonts w:ascii="Open Sans" w:cs="Open Sans" w:eastAsia="Open Sans" w:hAnsi="Open Sans"/>
          <w:b/>
          <w:bCs/>
          <w:i w:val="false"/>
          <w:iCs w:val="false"/>
          <w:color w:val="3F3F3F"/>
          <w:sz w:val="24"/>
          <w:szCs w:val="24"/>
        </w:rPr>
        <w:t xml:space="preserve">1. Module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code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NB-SOCE-L3-CM-IS-01</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title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Effective Communication Skills I</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Scope / type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Institution-wide common  ·  Integrative Skills</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SLQF level / credits</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Level 3 (Year 1)  ·  2 credits  ·  100 notional hours (1 credit = 50 hours)</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Carried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All four SOCE pathways</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Exit-award relevance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Diploma exit: communication competency evidence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Prerequisites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None</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Delivery mode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Workshop-based skills delivery: 15 workshop hours = 5 three-hour blocks, plus facilitated activities, coaching and independent work</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Hours profile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Skills 2-credit (B-2), the School hours model</w:t>
            </w:r>
          </w:p>
        </w:tc>
      </w:tr>
    </w:tbl>
    <w:p>
      <w:pPr>
        <w:pStyle w:val="Heading2"/>
        <w:spacing w:after="130" w:before="240"/>
      </w:pPr>
      <w:r>
        <w:rPr>
          <w:rFonts w:ascii="Open Sans" w:cs="Open Sans" w:eastAsia="Open Sans" w:hAnsi="Open Sans"/>
          <w:b/>
          <w:bCs/>
          <w:i w:val="false"/>
          <w:iCs w:val="false"/>
          <w:color w:val="3F3F3F"/>
          <w:sz w:val="24"/>
          <w:szCs w:val="24"/>
        </w:rPr>
        <w:t xml:space="preserve">2. Module Purpose and Aims</w:t>
      </w:r>
    </w:p>
    <w:p>
      <w:pPr>
        <w:spacing w:after="150" w:line="274"/>
      </w:pPr>
      <w:r>
        <w:rPr>
          <w:rFonts w:ascii="Open Sans" w:cs="Open Sans" w:eastAsia="Open Sans" w:hAnsi="Open Sans"/>
          <w:b w:val="false"/>
          <w:bCs w:val="false"/>
          <w:i w:val="false"/>
          <w:iCs w:val="false"/>
          <w:color w:val="1A1A1A"/>
          <w:sz w:val="21"/>
          <w:szCs w:val="21"/>
        </w:rPr>
        <w:t xml:space="preserve">To build the foundational professional communication every SOCE graduate needs from the first year: clear structured writing, confident spoken presentation with visual support, and the habit of adapting register to audience and purpose. Delivery is workshop-based and practice-heavy: students communicate about their own computing work from the start, so artefacts double as early portfolio evidence.</w:t>
      </w:r>
    </w:p>
    <w:p>
      <w:pPr>
        <w:pStyle w:val="Heading3"/>
        <w:spacing w:after="110" w:before="180"/>
      </w:pPr>
      <w:r>
        <w:rPr>
          <w:rFonts w:ascii="Open Sans" w:cs="Open Sans" w:eastAsia="Open Sans" w:hAnsi="Open Sans"/>
          <w:b/>
          <w:bCs/>
          <w:i w:val="false"/>
          <w:iCs w:val="false"/>
          <w:color w:val="595959"/>
          <w:sz w:val="21"/>
          <w:szCs w:val="21"/>
        </w:rPr>
        <w:t xml:space="preserve">Specification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595959" w:sz="22"/>
              <w:bottom w:val="single" w:color="CCCCCC" w:sz="2"/>
              <w:right w:val="single" w:color="CCCCCC" w:sz="2"/>
            </w:tcBorders>
            <w:shd w:fill="F7F7F7" w:val="clear"/>
            <w:tcMar>
              <w:top w:type="dxa" w:w="110"/>
              <w:left w:type="dxa" w:w="150"/>
              <w:bottom w:type="dxa" w:w="110"/>
              <w:right w:type="dxa" w:w="150"/>
            </w:tcMar>
          </w:tcPr>
          <w:p>
            <w:pPr>
              <w:spacing w:after="70"/>
            </w:pPr>
            <w:r>
              <w:rPr>
                <w:rFonts w:ascii="Open Sans" w:cs="Open Sans" w:eastAsia="Open Sans" w:hAnsi="Open Sans"/>
                <w:b/>
                <w:bCs/>
                <w:i w:val="false"/>
                <w:iCs w:val="false"/>
                <w:color w:val="1A1A1A"/>
                <w:sz w:val="20"/>
                <w:szCs w:val="20"/>
              </w:rPr>
              <w:t xml:space="preserve">Covers: </w:t>
            </w:r>
            <w:r>
              <w:rPr>
                <w:rFonts w:ascii="Open Sans" w:cs="Open Sans" w:eastAsia="Open Sans" w:hAnsi="Open Sans"/>
                <w:b w:val="false"/>
                <w:bCs w:val="false"/>
                <w:i w:val="false"/>
                <w:iCs w:val="false"/>
                <w:color w:val="1A1A1A"/>
                <w:sz w:val="20"/>
                <w:szCs w:val="20"/>
              </w:rPr>
              <w:t xml:space="preserve">foundational written, spoken and visual communication for academic and professional audiences; audience and register adaptation; collaborative communication and feedback practice.</w:t>
            </w:r>
          </w:p>
          <w:p>
            <w:pPr>
              <w:spacing w:after="70"/>
            </w:pPr>
            <w:r>
              <w:rPr>
                <w:rFonts w:ascii="Open Sans" w:cs="Open Sans" w:eastAsia="Open Sans" w:hAnsi="Open Sans"/>
                <w:b/>
                <w:bCs/>
                <w:i w:val="false"/>
                <w:iCs w:val="false"/>
                <w:color w:val="1A1A1A"/>
                <w:sz w:val="20"/>
                <w:szCs w:val="20"/>
              </w:rPr>
              <w:t xml:space="preserve">Does NOT cover: </w:t>
            </w:r>
            <w:r>
              <w:rPr>
                <w:rFonts w:ascii="Open Sans" w:cs="Open Sans" w:eastAsia="Open Sans" w:hAnsi="Open Sans"/>
                <w:b w:val="false"/>
                <w:bCs w:val="false"/>
                <w:i w:val="false"/>
                <w:iCs w:val="false"/>
                <w:color w:val="1A1A1A"/>
                <w:sz w:val="20"/>
                <w:szCs w:val="20"/>
              </w:rPr>
              <w:t xml:space="preserve">advanced workplace and career communication (Effective Communication Skills II); discipline-specific technical documentation depth (pathway modules where relevant).</w:t>
            </w:r>
          </w:p>
          <w:p>
            <w:pPr>
              <w:spacing w:after="70"/>
            </w:pPr>
            <w:r>
              <w:rPr>
                <w:rFonts w:ascii="Open Sans" w:cs="Open Sans" w:eastAsia="Open Sans" w:hAnsi="Open Sans"/>
                <w:b w:val="false"/>
                <w:bCs w:val="false"/>
                <w:i/>
                <w:iCs/>
                <w:color w:val="1A1A1A"/>
                <w:sz w:val="19"/>
                <w:szCs w:val="19"/>
              </w:rPr>
              <w:t xml:space="preserve">The boundary text is identical wherever the module is carried and changes only through the School's formal change-control process.</w:t>
            </w:r>
          </w:p>
        </w:tc>
      </w:tr>
    </w:tbl>
    <w:p>
      <w:pPr>
        <w:pStyle w:val="Heading2"/>
        <w:spacing w:after="130" w:before="240"/>
      </w:pPr>
      <w:r>
        <w:rPr>
          <w:rFonts w:ascii="Open Sans" w:cs="Open Sans" w:eastAsia="Open Sans" w:hAnsi="Open Sans"/>
          <w:b/>
          <w:bCs/>
          <w:i w:val="false"/>
          <w:iCs w:val="false"/>
          <w:color w:val="3F3F3F"/>
          <w:sz w:val="24"/>
          <w:szCs w:val="24"/>
        </w:rPr>
        <w:t xml:space="preserve">3. Learning Outcomes</w:t>
      </w:r>
    </w:p>
    <w:p>
      <w:pPr>
        <w:spacing w:after="150" w:line="274"/>
      </w:pPr>
      <w:r>
        <w:rPr>
          <w:rFonts w:ascii="Open Sans" w:cs="Open Sans" w:eastAsia="Open Sans" w:hAnsi="Open Sans"/>
          <w:b w:val="false"/>
          <w:bCs w:val="false"/>
          <w:i w:val="false"/>
          <w:iCs w:val="false"/>
          <w:color w:val="1A1A1A"/>
          <w:sz w:val="21"/>
          <w:szCs w:val="21"/>
        </w:rPr>
        <w:t xml:space="preserve">On successful completion of this module, the student will be able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726"/>
        <w:gridCol w:w="2500"/>
      </w:tblGrid>
      <w:tr>
        <w:trPr>
          <w:tblHeader/>
        </w:trPr>
        <w:tc>
          <w:tcPr>
            <w:tcW w:type="dxa" w:w="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Ref</w:t>
            </w:r>
          </w:p>
        </w:tc>
        <w:tc>
          <w:tcPr>
            <w:tcW w:type="dxa" w:w="57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Intended Learning Outcome</w:t>
            </w:r>
          </w:p>
        </w:tc>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Bloom level</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w:t>
            </w:r>
          </w:p>
        </w:tc>
        <w:tc>
          <w:tcPr>
            <w:tcW w:type="dxa" w:w="57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Produce clear, structured written communication for academic and professional audiences.</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LO2</w:t>
            </w:r>
          </w:p>
        </w:tc>
        <w:tc>
          <w:tcPr>
            <w:tcW w:type="dxa" w:w="57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Deliver a structured spoken presentation with appropriate visual support.</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LO3</w:t>
            </w:r>
          </w:p>
        </w:tc>
        <w:tc>
          <w:tcPr>
            <w:tcW w:type="dxa" w:w="57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Adapt tone, register and format to audience and purpose.</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LO4</w:t>
            </w:r>
          </w:p>
        </w:tc>
        <w:tc>
          <w:tcPr>
            <w:tcW w:type="dxa" w:w="57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Give and respond to constructive feedback in collaborative settings.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w:t>
            </w:r>
          </w:p>
        </w:tc>
      </w:tr>
    </w:tbl>
    <w:p>
      <w:pPr>
        <w:pStyle w:val="Heading2"/>
        <w:spacing w:after="130" w:before="240"/>
      </w:pPr>
      <w:r>
        <w:rPr>
          <w:rFonts w:ascii="Open Sans" w:cs="Open Sans" w:eastAsia="Open Sans" w:hAnsi="Open Sans"/>
          <w:b/>
          <w:bCs/>
          <w:i w:val="false"/>
          <w:iCs w:val="false"/>
          <w:color w:val="3F3F3F"/>
          <w:sz w:val="24"/>
          <w:szCs w:val="24"/>
        </w:rPr>
        <w:t xml:space="preserve">4. Skills Programme and Delivery</w:t>
      </w:r>
    </w:p>
    <w:p>
      <w:pPr>
        <w:pStyle w:val="Heading3"/>
        <w:spacing w:after="110" w:before="180"/>
      </w:pPr>
      <w:r>
        <w:rPr>
          <w:rFonts w:ascii="Open Sans" w:cs="Open Sans" w:eastAsia="Open Sans" w:hAnsi="Open Sans"/>
          <w:b/>
          <w:bCs/>
          <w:i w:val="false"/>
          <w:iCs w:val="false"/>
          <w:color w:val="595959"/>
          <w:sz w:val="21"/>
          <w:szCs w:val="21"/>
        </w:rPr>
        <w:t xml:space="preserve">Workshop Programme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226"/>
        <w:gridCol w:w="2000"/>
      </w:tblGrid>
      <w:tr>
        <w:trPr>
          <w:tblHeader/>
        </w:trPr>
        <w:tc>
          <w:tcPr>
            <w:tcW w:type="dxa" w:w="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Ref</w:t>
            </w:r>
          </w:p>
        </w:tc>
        <w:tc>
          <w:tcPr>
            <w:tcW w:type="dxa" w:w="62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Theme</w:t>
            </w:r>
          </w:p>
        </w:tc>
        <w:tc>
          <w:tcPr>
            <w:tcW w:type="dxa" w:w="20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Hours</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W1</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Foundations of professional communication: audience, purpose and register</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W2</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Written communication: structure, clarity and technical-writing basics</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W3</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Spoken communication and presentation fundamentals</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W4</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Visual communication: slides, diagrams and document design</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W5</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Collaborative communication: teams, meetings and feedback</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
            </w:r>
          </w:p>
        </w:tc>
        <w:tc>
          <w:tcPr>
            <w:tcW w:type="dxa" w:w="6226"/>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Total workshop hours</w:t>
            </w:r>
          </w:p>
        </w:tc>
        <w:tc>
          <w:tcPr>
            <w:tcW w:type="dxa" w:w="20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15</w:t>
            </w:r>
          </w:p>
        </w:tc>
      </w:tr>
    </w:tbl>
    <w:p>
      <w:pPr>
        <w:spacing w:after="150" w:line="274"/>
      </w:pPr>
      <w:r>
        <w:rPr>
          <w:rFonts w:ascii="Open Sans" w:cs="Open Sans" w:eastAsia="Open Sans" w:hAnsi="Open Sans"/>
          <w:b w:val="false"/>
          <w:bCs w:val="false"/>
          <w:i w:val="false"/>
          <w:iCs w:val="false"/>
          <w:color w:val="1A1A1A"/>
          <w:sz w:val="20"/>
          <w:szCs w:val="20"/>
        </w:rPr>
        <w:t xml:space="preserve">Workshops run as five three-hour blocks. Facilitated activities (21 hours) are practice studios applying each workshop theme to the student's own computing work; coaching sessions (9 hours) give structured feedback on developing portfolio pieces; independent work (55 hours) completes the portfolio.</w:t>
      </w:r>
    </w:p>
    <w:p>
      <w:pPr>
        <w:pStyle w:val="Heading3"/>
        <w:spacing w:after="110" w:before="180"/>
      </w:pPr>
      <w:r>
        <w:rPr>
          <w:rFonts w:ascii="Open Sans" w:cs="Open Sans" w:eastAsia="Open Sans" w:hAnsi="Open Sans"/>
          <w:b/>
          <w:bCs/>
          <w:i w:val="false"/>
          <w:iCs w:val="false"/>
          <w:color w:val="595959"/>
          <w:sz w:val="21"/>
          <w:szCs w:val="21"/>
        </w:rPr>
        <w:t xml:space="preserve">Engagement Hours (SLQF)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tblHeader/>
        </w:trPr>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Hours</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Taught workshops</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15</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Facilitated activities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21</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Coaching / feedback sessions</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Independent work</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55</w:t>
            </w:r>
          </w:p>
        </w:tc>
      </w:tr>
      <w:tr>
        <w:tc>
          <w:tcPr>
            <w:tcW w:type="dxa" w:w="6526"/>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Total</w:t>
            </w:r>
          </w:p>
        </w:tc>
        <w:tc>
          <w:tcPr>
            <w:tcW w:type="dxa" w:w="25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100</w:t>
            </w:r>
          </w:p>
        </w:tc>
      </w:tr>
    </w:tbl>
    <w:p>
      <w:pPr>
        <w:pStyle w:val="Heading2"/>
        <w:spacing w:after="130" w:before="240"/>
      </w:pPr>
      <w:r>
        <w:rPr>
          <w:rFonts w:ascii="Open Sans" w:cs="Open Sans" w:eastAsia="Open Sans" w:hAnsi="Open Sans"/>
          <w:b/>
          <w:bCs/>
          <w:i w:val="false"/>
          <w:iCs w:val="false"/>
          <w:color w:val="3F3F3F"/>
          <w:sz w:val="24"/>
          <w:szCs w:val="24"/>
        </w:rPr>
        <w:t xml:space="preserve">5. Assessment</w:t>
      </w:r>
    </w:p>
    <w:p>
      <w:pPr>
        <w:spacing w:after="150" w:line="274"/>
      </w:pPr>
      <w:r>
        <w:rPr>
          <w:rFonts w:ascii="Open Sans" w:cs="Open Sans" w:eastAsia="Open Sans" w:hAnsi="Open Sans"/>
          <w:b w:val="false"/>
          <w:bCs w:val="false"/>
          <w:i w:val="false"/>
          <w:iCs w:val="false"/>
          <w:color w:val="1A1A1A"/>
          <w:sz w:val="21"/>
          <w:szCs w:val="21"/>
        </w:rPr>
        <w:t xml:space="preserve">Weightings are confirmed at specification sign-off. No examination is carried: this is a skills module by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100"/>
        <w:gridCol w:w="1300"/>
        <w:gridCol w:w="1000"/>
      </w:tblGrid>
      <w:tr>
        <w:trPr>
          <w:tblHeader/>
        </w:trPr>
        <w:tc>
          <w:tcPr>
            <w:tcW w:type="dxa" w:w="1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32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Task</w:t>
            </w:r>
          </w:p>
        </w:tc>
        <w:tc>
          <w:tcPr>
            <w:tcW w:type="dxa" w:w="21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Conditions</w:t>
            </w:r>
          </w:p>
        </w:tc>
        <w:tc>
          <w:tcPr>
            <w:tcW w:type="dxa" w:w="13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Outcomes assessed</w:t>
            </w:r>
          </w:p>
        </w:tc>
        <w:tc>
          <w:tcPr>
            <w:tcW w:type="dxa" w:w="10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Weight</w:t>
            </w:r>
          </w:p>
        </w:tc>
      </w:tr>
      <w:tr>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Coursework</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Communication portfolio: two written artefacts (one academic, one professional register) and one visual-communication artefact, developed through the coaching cycle</w:t>
            </w:r>
          </w:p>
        </w:tc>
        <w:tc>
          <w:tcPr>
            <w:tcW w:type="dxa" w:w="21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Individual; take-home; graded; Viva/Presentation: None</w:t>
            </w:r>
          </w:p>
        </w:tc>
        <w:tc>
          <w:tcPr>
            <w:tcW w:type="dxa" w:w="13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 LO3, LO4</w:t>
            </w:r>
          </w:p>
        </w:tc>
        <w:tc>
          <w:tcPr>
            <w:tcW w:type="dxa" w:w="1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60%</w:t>
            </w:r>
          </w:p>
        </w:tc>
      </w:tr>
      <w:tr>
        <w:tc>
          <w:tcPr>
            <w:tcW w:type="dxa" w:w="1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Coursework (in-class)</w:t>
            </w:r>
          </w:p>
        </w:tc>
        <w:tc>
          <w:tcPr>
            <w:tcW w:type="dxa" w:w="32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Structured individual presentation with visual support, delivered to a workshop audience with question handling</w:t>
            </w:r>
          </w:p>
        </w:tc>
        <w:tc>
          <w:tcPr>
            <w:tcW w:type="dxa" w:w="21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Individual; in-class; graded; Viva/Presentation: Presentation</w:t>
            </w:r>
          </w:p>
        </w:tc>
        <w:tc>
          <w:tcPr>
            <w:tcW w:type="dxa" w:w="13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LO2, LO3</w:t>
            </w:r>
          </w:p>
        </w:tc>
        <w:tc>
          <w:tcPr>
            <w:tcW w:type="dxa" w:w="1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40%</w:t>
            </w:r>
          </w:p>
        </w:tc>
      </w:tr>
    </w:tbl>
    <w:p>
      <w:pPr>
        <w:spacing w:after="150" w:line="274"/>
      </w:pPr>
      <w:r>
        <w:rPr>
          <w:rFonts w:ascii="Open Sans" w:cs="Open Sans" w:eastAsia="Open Sans" w:hAnsi="Open Sans"/>
          <w:b w:val="false"/>
          <w:bCs w:val="false"/>
          <w:i w:val="false"/>
          <w:iCs w:val="false"/>
          <w:color w:val="1A1A1A"/>
          <w:sz w:val="20"/>
          <w:szCs w:val="20"/>
        </w:rPr>
        <w:t xml:space="preserve">Reassessment is by the failed component only, with an equivalent task, per School regulations. All assessment is conducted under the School's academic integrity policy, including its provisions on the use of generative AI.</w:t>
      </w:r>
    </w:p>
    <w:p>
      <w:pPr>
        <w:pStyle w:val="Heading2"/>
        <w:spacing w:after="130" w:before="240"/>
      </w:pPr>
      <w:r>
        <w:rPr>
          <w:rFonts w:ascii="Open Sans" w:cs="Open Sans" w:eastAsia="Open Sans" w:hAnsi="Open Sans"/>
          <w:b/>
          <w:bCs/>
          <w:i w:val="false"/>
          <w:iCs w:val="false"/>
          <w:color w:val="3F3F3F"/>
          <w:sz w:val="24"/>
          <w:szCs w:val="24"/>
        </w:rPr>
        <w:t xml:space="preserve">6. Resources, Staff and Governance</w:t>
      </w:r>
    </w:p>
    <w:p>
      <w:pPr>
        <w:pStyle w:val="Heading3"/>
        <w:spacing w:after="110" w:before="180"/>
      </w:pPr>
      <w:r>
        <w:rPr>
          <w:rFonts w:ascii="Open Sans" w:cs="Open Sans" w:eastAsia="Open Sans" w:hAnsi="Open Sans"/>
          <w:b/>
          <w:bCs/>
          <w:i w:val="false"/>
          <w:iCs w:val="false"/>
          <w:color w:val="595959"/>
          <w:sz w:val="21"/>
          <w:szCs w:val="21"/>
        </w:rPr>
        <w:t xml:space="preserve">Indicative Reading</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Sword, H., Stylish Academic Writing (Harvard University Press) - selected chapters on clarity and structure.</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Duarte, N., slide:ology (O'Reilly) - visual communication foundations, selected use.</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School-produced communication workbook and portfolio brief, confirmed at teaching-plan stage.</w:t>
      </w:r>
    </w:p>
    <w:p>
      <w:pPr>
        <w:spacing w:after="150" w:line="274"/>
      </w:pPr>
      <w:r>
        <w:rPr>
          <w:rFonts w:ascii="Open Sans" w:cs="Open Sans" w:eastAsia="Open Sans" w:hAnsi="Open Sans"/>
          <w:b w:val="false"/>
          <w:bCs w:val="false"/>
          <w:i/>
          <w:iCs/>
          <w:color w:val="1A1A1A"/>
          <w:sz w:val="19"/>
          <w:szCs w:val="19"/>
        </w:rPr>
        <w:t xml:space="preserve">Reading lists are indicative and are confirmed by the module leaders; editions per current library holdings.</w:t>
      </w:r>
    </w:p>
    <w:p>
      <w:pPr>
        <w:pStyle w:val="Heading3"/>
        <w:spacing w:after="110" w:before="180"/>
      </w:pPr>
      <w:r>
        <w:rPr>
          <w:rFonts w:ascii="Open Sans" w:cs="Open Sans" w:eastAsia="Open Sans" w:hAnsi="Open Sans"/>
          <w:b/>
          <w:bCs/>
          <w:i w:val="false"/>
          <w:iCs w:val="false"/>
          <w:color w:val="595959"/>
          <w:sz w:val="21"/>
          <w:szCs w:val="21"/>
        </w:rPr>
        <w:t xml:space="preserve">Staffing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Role</w:t>
            </w:r>
          </w:p>
        </w:tc>
        <w:tc>
          <w:tcPr>
            <w:tcW w:type="dxa" w:w="32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Name</w:t>
            </w:r>
          </w:p>
        </w:tc>
        <w:tc>
          <w:tcPr>
            <w:tcW w:type="dxa" w:w="32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Domain credential</w:t>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 1</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 2</w:t>
            </w:r>
          </w:p>
        </w:tc>
        <w:tc>
          <w:tcPr>
            <w:tcW w:type="dxa" w:w="32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External module auditor</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bl>
    <w:p>
      <w:pPr>
        <w:spacing w:after="150" w:line="274"/>
      </w:pPr>
      <w:r>
        <w:rPr>
          <w:rFonts w:ascii="Open Sans" w:cs="Open Sans" w:eastAsia="Open Sans" w:hAnsi="Open Sans"/>
          <w:b/>
          <w:bCs/>
          <w:i w:val="false"/>
          <w:iCs w:val="false"/>
          <w:color w:val="1A1A1A"/>
          <w:sz w:val="20"/>
          <w:szCs w:val="20"/>
        </w:rPr>
        <w:t xml:space="preserve">Domain-expertise statement: </w:t>
      </w:r>
      <w:r>
        <w:rPr>
          <w:rFonts w:ascii="Open Sans" w:cs="Open Sans" w:eastAsia="Open Sans" w:hAnsi="Open Sans"/>
          <w:b w:val="false"/>
          <w:bCs w:val="false"/>
          <w:i w:val="false"/>
          <w:iCs w:val="false"/>
          <w:color w:val="1A1A1A"/>
          <w:sz w:val="20"/>
          <w:szCs w:val="20"/>
        </w:rPr>
        <w:t xml:space="preserve">Delivered from professional-communication teaching expertise with computing-context familiarity; generic delivery is non-compliant.</w:t>
      </w:r>
    </w:p>
    <w:p>
      <w:pPr>
        <w:pStyle w:val="Heading3"/>
        <w:spacing w:after="110" w:before="180"/>
      </w:pPr>
      <w:r>
        <w:rPr>
          <w:rFonts w:ascii="Open Sans" w:cs="Open Sans" w:eastAsia="Open Sans" w:hAnsi="Open Sans"/>
          <w:b/>
          <w:bCs/>
          <w:i w:val="false"/>
          <w:iCs w:val="false"/>
          <w:color w:val="595959"/>
          <w:sz w:val="21"/>
          <w:szCs w:val="21"/>
        </w:rPr>
        <w:t xml:space="preserve">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1826"/>
      </w:tblGrid>
      <w:tr>
        <w:trPr>
          <w:tblHeader/>
        </w:trPr>
        <w:tc>
          <w:tcPr>
            <w:tcW w:type="dxa" w:w="2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Stage</w:t>
            </w:r>
          </w:p>
        </w:tc>
        <w:tc>
          <w:tcPr>
            <w:tcW w:type="dxa" w:w="2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Name / Body</w:t>
            </w:r>
          </w:p>
        </w:tc>
        <w:tc>
          <w:tcPr>
            <w:tcW w:type="dxa" w:w="1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Date</w:t>
            </w:r>
          </w:p>
        </w:tc>
        <w:tc>
          <w:tcPr>
            <w:tcW w:type="dxa" w:w="18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Signature</w:t>
            </w:r>
          </w:p>
        </w:tc>
      </w:tr>
      <w:tr>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leaders</w:t>
            </w:r>
          </w:p>
        </w:tc>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External module auditor</w:t>
            </w:r>
          </w:p>
        </w:tc>
        <w:tc>
          <w:tcPr>
            <w:tcW w:type="dxa" w:w="2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Curriculum Committee</w:t>
            </w:r>
          </w:p>
        </w:tc>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2026-07-20T09:45:23.689Z</dcterms:created>
  <dcterms:modified xsi:type="dcterms:W3CDTF">2026-07-20T09:45:23.703Z</dcterms:modified>
</cp:coreProperties>
</file>

<file path=docProps/custom.xml><?xml version="1.0" encoding="utf-8"?>
<Properties xmlns="http://schemas.openxmlformats.org/officeDocument/2006/custom-properties" xmlns:vt="http://schemas.openxmlformats.org/officeDocument/2006/docPropsVTypes"/>
</file>