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Industry Horizons</w:t>
      </w:r>
    </w:p>
    <w:p>
      <w:pPr>
        <w:spacing w:after="350" w:line="274"/>
      </w:pPr>
      <w:r>
        <w:rPr>
          <w:rFonts w:ascii="Open Sans" w:cs="Open Sans" w:eastAsia="Open Sans" w:hAnsi="Open Sans"/>
          <w:b w:val="false"/>
          <w:bCs w:val="false"/>
          <w:i w:val="false"/>
          <w:iCs w:val="false"/>
          <w:color w:val="595959"/>
          <w:sz w:val="22"/>
          <w:szCs w:val="22"/>
        </w:rPr>
        <w:t xml:space="preserve">NB-SOCE-L3-CM-IS-03  ·  Institution-Wide Common (Exit Block)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descriptor for an exit-award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(Diploma exit)</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Industry Horizons</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NB-SOCE-L3-CM-IS-03</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Industry Horizons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(exit block)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exit block)  ·  2 credits  ·  100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pathway-flavoured case material is a delivery matter, not a specification split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competency-evidence module of the Diploma exit; NVQ Level 5 target orientation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Taken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Students who have declared exit at Diploma level</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15 workshop hours as 5 three-hour blocks, plus facilitated activities, coaching and independent work</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Skills 2-credit (B-2)</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equip a student exiting at Diploma level with a clear, realistic view of the computing employment landscape and an initial evidence portfolio to enter it. The module maps sector roles, routes and entry expectations against the student's pathway, and turns completed Year 1 work into structured, auditable evidence of capability. It is a core competency-evidence module of the Diploma exit and is oriented to the NVQ Level 5 target.</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the employment landscape of the computing and IT sector; industry roles, career routes and entry expectations; sector awareness aligned to the student's pathway; portfolio seeding.</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career strategy and professional-profile depth (Professional Standing and Career Strategy, HND exit); workplace conduct foundations (Professional Practice Foundations).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Map the roles, routes and expectations of the computing employment landscape relevant to the pathway.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Assemble an initial evidence portfolio of skills and completed work.</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Identify a realistic personal entry route into industry or further study.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introductory Evaluate</w:t>
            </w:r>
          </w:p>
        </w:tc>
      </w:tr>
    </w:tbl>
    <w:p>
      <w:pPr>
        <w:pStyle w:val="Heading3"/>
        <w:spacing w:after="110" w:before="180"/>
      </w:pPr>
      <w:r>
        <w:rPr>
          <w:rFonts w:ascii="Open Sans" w:cs="Open Sans" w:eastAsia="Open Sans" w:hAnsi="Open Sans"/>
          <w:b/>
          <w:bCs/>
          <w:i w:val="false"/>
          <w:iCs w:val="false"/>
          <w:color w:val="595959"/>
          <w:sz w:val="21"/>
          <w:szCs w:val="21"/>
        </w:rPr>
        <w:t xml:space="preserve">Exit-Award Orientation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EB5600" w:sz="22"/>
              <w:bottom w:val="single" w:color="CCCCCC" w:sz="2"/>
              <w:right w:val="single" w:color="CCCCCC" w:sz="2"/>
            </w:tcBorders>
            <w:shd w:fill="FFF8F5" w:val="clear"/>
            <w:tcMar>
              <w:top w:type="dxa" w:w="110"/>
              <w:left w:type="dxa" w:w="150"/>
              <w:bottom w:type="dxa" w:w="110"/>
              <w:right w:type="dxa" w:w="150"/>
            </w:tcMar>
          </w:tcPr>
          <w:p>
            <w:pPr>
              <w:spacing w:after="70"/>
            </w:pPr>
            <w:r>
              <w:rPr>
                <w:rFonts w:ascii="Open Sans" w:cs="Open Sans" w:eastAsia="Open Sans" w:hAnsi="Open Sans"/>
                <w:b w:val="false"/>
                <w:bCs w:val="false"/>
                <w:i w:val="false"/>
                <w:iCs w:val="false"/>
                <w:color w:val="1A1A1A"/>
                <w:sz w:val="20"/>
                <w:szCs w:val="20"/>
              </w:rPr>
              <w:t xml:space="preserve">This is a core competency-evidence module of the Diploma exit award, oriented to the NVQ Level 5 target. Independent-work hours are directed to </w:t>
            </w:r>
            <w:r>
              <w:rPr>
                <w:rFonts w:ascii="Open Sans" w:cs="Open Sans" w:eastAsia="Open Sans" w:hAnsi="Open Sans"/>
                <w:b w:val="false"/>
                <w:bCs w:val="false"/>
                <w:i w:val="false"/>
                <w:iCs w:val="false"/>
                <w:color w:val="1A1A1A"/>
                <w:sz w:val="20"/>
                <w:szCs w:val="20"/>
              </w:rPr>
              <w:t xml:space="preserve">the evidence portfolio (skills inventory mapped to completed Year 1 artefacts) and a personal entry-route plan; both structured as auditable competency evidence against the NVQ Level 5 target.</w:t>
            </w:r>
          </w:p>
          <w:p>
            <w:pPr>
              <w:spacing w:after="70"/>
            </w:pPr>
            <w:r>
              <w:rPr>
                <w:rFonts w:ascii="Open Sans" w:cs="Open Sans" w:eastAsia="Open Sans" w:hAnsi="Open Sans"/>
                <w:b/>
                <w:bCs/>
                <w:i w:val="false"/>
                <w:iCs w:val="false"/>
                <w:color w:val="1A1A1A"/>
                <w:sz w:val="20"/>
                <w:szCs w:val="20"/>
              </w:rPr>
              <w:t xml:space="preserve">TVEC accreditation is an active pursuit and is not yet granted; additional requirements may be introduced, and the competency-evidence mapping remains adaptable to confirmed requirements.</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The computing and IT sector: structure, roles and routes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Pathway-aligned roles and entry expectations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Evidence of capability: what a portfolio is and does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Building the portfolio from Year 1 work</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Personal entry route: options, realism and next steps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five three-hour blocks. Facilitated activities build the evidence artefacts; coaching gives individual feedback on developing portfolio pieces; independent work completes the competency-evidence portfolio.</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21</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 (competency-evidence artefacts)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55</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No examination is carried: this is a skills module by design. Assessment artefacts are structured as auditable competency evidence for the exit award.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Evidence portfolio: a structured inventory of skills mapped to completed Year 1 artefacts, with a personal entry-route plan</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Portfolio presentation: the student presents their evidence portfolio and entry route to a panel with question handling</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graded; Viva/Presentation: Presentation</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industry-landscape briefing and portfolio-construction workbook, refreshed each cycle against current sector data, confirmed at teaching-plan stage.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Current sector workforce reporting (Export Development Board; national ICT workforce surveys), as the live evidence base for the landscape workshops.</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Delivered from industry-engagement and careers expertise with computing-sector currency;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2026-07-20T09:52:01.767Z</dcterms:created>
  <dcterms:modified xsi:type="dcterms:W3CDTF">2026-07-20T09:52:01.781Z</dcterms:modified>
</cp:coreProperties>
</file>

<file path=docProps/custom.xml><?xml version="1.0" encoding="utf-8"?>
<Properties xmlns="http://schemas.openxmlformats.org/officeDocument/2006/custom-properties" xmlns:vt="http://schemas.openxmlformats.org/officeDocument/2006/docPropsVTypes"/>
</file>