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line="274"/>
      </w:pPr>
      <w:r>
        <w:rPr>
          <w:rFonts w:ascii="Open Sans" w:cs="Open Sans" w:eastAsia="Open Sans" w:hAnsi="Open Sans"/>
          <w:b w:val="false"/>
          <w:bCs w:val="false"/>
          <w:i w:val="false"/>
          <w:iCs w:val="false"/>
          <w:color w:val="1A1A1A"/>
          <w:sz w:val="21"/>
          <w:szCs w:val="21"/>
        </w:rPr>
        <w:t xml:space="preserve"/>
      </w:r>
    </w:p>
    <w:p>
      <w:pPr>
        <w:spacing w:after="50" w:line="274"/>
      </w:pPr>
      <w:r>
        <w:rPr>
          <w:rFonts w:ascii="Open Sans" w:cs="Open Sans" w:eastAsia="Open Sans" w:hAnsi="Open Sans"/>
          <w:b/>
          <w:bCs/>
          <w:i w:val="false"/>
          <w:iCs w:val="false"/>
          <w:color w:val="1A1A1A"/>
          <w:sz w:val="27"/>
          <w:szCs w:val="27"/>
        </w:rPr>
        <w:t xml:space="preserve">National Institute of Business Management</w:t>
      </w:r>
    </w:p>
    <w:p>
      <w:pPr>
        <w:spacing w:after="350" w:line="274"/>
      </w:pPr>
      <w:r>
        <w:rPr>
          <w:rFonts w:ascii="Open Sans" w:cs="Open Sans" w:eastAsia="Open Sans" w:hAnsi="Open Sans"/>
          <w:b w:val="false"/>
          <w:bCs w:val="false"/>
          <w:i w:val="false"/>
          <w:iCs w:val="false"/>
          <w:color w:val="595959"/>
          <w:sz w:val="23"/>
          <w:szCs w:val="23"/>
        </w:rPr>
        <w:t xml:space="preserve">School of Computing and Engineering</w:t>
      </w:r>
    </w:p>
    <w:p>
      <w:pPr>
        <w:pBdr>
          <w:bottom w:val="single" w:color="595959" w:sz="16"/>
        </w:pBdr>
        <w:spacing w:after="280"/>
      </w:pPr>
      <w:r>
        <w:rPr>
          <w:rFonts w:ascii="Open Sans" w:cs="Open Sans" w:eastAsia="Open Sans" w:hAnsi="Open Sans"/>
          <w:b w:val="false"/>
          <w:bCs w:val="false"/>
          <w:i w:val="false"/>
          <w:iCs w:val="false"/>
          <w:color w:val="1A1A1A"/>
          <w:sz w:val="21"/>
          <w:szCs w:val="21"/>
        </w:rPr>
        <w:t xml:space="preserve"/>
      </w:r>
    </w:p>
    <w:p>
      <w:pPr>
        <w:spacing w:after="100" w:line="274"/>
      </w:pPr>
      <w:r>
        <w:rPr>
          <w:rFonts w:ascii="Open Sans" w:cs="Open Sans" w:eastAsia="Open Sans" w:hAnsi="Open Sans"/>
          <w:b/>
          <w:bCs/>
          <w:i w:val="false"/>
          <w:iCs w:val="false"/>
          <w:color w:val="1A1A1A"/>
          <w:sz w:val="31"/>
          <w:szCs w:val="31"/>
        </w:rPr>
        <w:t xml:space="preserve">Module Descriptor - Professional Practice Foundations</w:t>
      </w:r>
    </w:p>
    <w:p>
      <w:pPr>
        <w:spacing w:after="350" w:line="274"/>
      </w:pPr>
      <w:r>
        <w:rPr>
          <w:rFonts w:ascii="Open Sans" w:cs="Open Sans" w:eastAsia="Open Sans" w:hAnsi="Open Sans"/>
          <w:b w:val="false"/>
          <w:bCs w:val="false"/>
          <w:i w:val="false"/>
          <w:iCs w:val="false"/>
          <w:color w:val="595959"/>
          <w:sz w:val="22"/>
          <w:szCs w:val="22"/>
        </w:rPr>
        <w:t xml:space="preserve">NB-SOCE-L3-CM-IS-04  ·  Institution-Wide Common (Exit Block)  ·  Integrative Skills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Field</w:t>
            </w:r>
          </w:p>
        </w:tc>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Value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Document status</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Draft for Review - v1.0</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Purpose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Specification-stage descriptor for an exit-award skills module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Prepared by</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SOCE Curriculum Committee</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Date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July 2026</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Authoritative sources</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School curriculum decision records; the Sri Lanka Qualifications Framework (University Grants Commission, 2015)</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Applies to</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All four SOCE pathways (Diploma exit)</w:t>
            </w:r>
          </w:p>
        </w:tc>
      </w:tr>
    </w:tbl>
    <w:p>
      <w:r>
        <w:br w:type="page"/>
      </w:r>
    </w:p>
    <w:p>
      <w:pPr>
        <w:pStyle w:val="Heading1"/>
        <w:spacing w:after="150" w:before="320"/>
      </w:pPr>
      <w:r>
        <w:rPr>
          <w:rFonts w:ascii="Open Sans" w:cs="Open Sans" w:eastAsia="Open Sans" w:hAnsi="Open Sans"/>
          <w:b/>
          <w:bCs/>
          <w:i w:val="false"/>
          <w:iCs w:val="false"/>
          <w:color w:val="1A1A1A"/>
          <w:sz w:val="29"/>
          <w:szCs w:val="29"/>
        </w:rPr>
        <w:t xml:space="preserve">Module Descriptor: Professional Practice Foundations</w:t>
      </w:r>
    </w:p>
    <w:p>
      <w:pPr>
        <w:pStyle w:val="Heading2"/>
        <w:spacing w:after="130" w:before="240"/>
      </w:pPr>
      <w:r>
        <w:rPr>
          <w:rFonts w:ascii="Open Sans" w:cs="Open Sans" w:eastAsia="Open Sans" w:hAnsi="Open Sans"/>
          <w:b/>
          <w:bCs/>
          <w:i w:val="false"/>
          <w:iCs w:val="false"/>
          <w:color w:val="3F3F3F"/>
          <w:sz w:val="24"/>
          <w:szCs w:val="24"/>
        </w:rPr>
        <w:t xml:space="preserve">1. Module Identity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Field</w:t>
            </w:r>
          </w:p>
        </w:tc>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Value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code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NB-SOCE-L3-CM-IS-04</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title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Professional Practice Foundations</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Scope / type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Institution-wide common (exit block)  ·  Integrative Skills</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SLQF level / credits</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Level 3 (Year 1 exit block)  ·  2 credits  ·  100 notional hours (1 credit = 50 hours)</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Carried by</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All four SOCE pathways; pathway-flavoured case material is a delivery matter, not a specification split</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Exit-award relevance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Core competency-evidence module of the Diploma exit; NVQ Level 5 target orientation</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Taken by</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Students who have declared exit at Diploma level</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Prerequisites</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None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Delivery mode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Workshop-based skills delivery: 15 workshop hours as 5 three-hour blocks, plus facilitated activities, coaching and independent work</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Hours profile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Skills 2-credit (B-2)</w:t>
            </w:r>
          </w:p>
        </w:tc>
      </w:tr>
    </w:tbl>
    <w:p>
      <w:pPr>
        <w:pStyle w:val="Heading2"/>
        <w:spacing w:after="130" w:before="240"/>
      </w:pPr>
      <w:r>
        <w:rPr>
          <w:rFonts w:ascii="Open Sans" w:cs="Open Sans" w:eastAsia="Open Sans" w:hAnsi="Open Sans"/>
          <w:b/>
          <w:bCs/>
          <w:i w:val="false"/>
          <w:iCs w:val="false"/>
          <w:color w:val="3F3F3F"/>
          <w:sz w:val="24"/>
          <w:szCs w:val="24"/>
        </w:rPr>
        <w:t xml:space="preserve">2. Module Purpose and Aims</w:t>
      </w:r>
    </w:p>
    <w:p>
      <w:pPr>
        <w:spacing w:after="150" w:line="274"/>
      </w:pPr>
      <w:r>
        <w:rPr>
          <w:rFonts w:ascii="Open Sans" w:cs="Open Sans" w:eastAsia="Open Sans" w:hAnsi="Open Sans"/>
          <w:b w:val="false"/>
          <w:bCs w:val="false"/>
          <w:i w:val="false"/>
          <w:iCs w:val="false"/>
          <w:color w:val="1A1A1A"/>
          <w:sz w:val="21"/>
          <w:szCs w:val="21"/>
        </w:rPr>
        <w:t xml:space="preserve">To prepare a Diploma-exiting student for the workplace: expected professional conduct and communication, honest and effective application materials, and a clear grasp of an entry-level computing professional's responsibilities. The module is practical and evidence-producing, and is a core competency-evidence module of the Diploma exit oriented to the NVQ Level 5 target.</w:t>
      </w:r>
    </w:p>
    <w:p>
      <w:pPr>
        <w:pStyle w:val="Heading3"/>
        <w:spacing w:after="110" w:before="180"/>
      </w:pPr>
      <w:r>
        <w:rPr>
          <w:rFonts w:ascii="Open Sans" w:cs="Open Sans" w:eastAsia="Open Sans" w:hAnsi="Open Sans"/>
          <w:b/>
          <w:bCs/>
          <w:i w:val="false"/>
          <w:iCs w:val="false"/>
          <w:color w:val="595959"/>
          <w:sz w:val="21"/>
          <w:szCs w:val="21"/>
        </w:rPr>
        <w:t xml:space="preserve">Specification Boundary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595959" w:sz="22"/>
              <w:bottom w:val="single" w:color="CCCCCC" w:sz="2"/>
              <w:right w:val="single" w:color="CCCCCC" w:sz="2"/>
            </w:tcBorders>
            <w:shd w:fill="F7F7F7" w:val="clear"/>
            <w:tcMar>
              <w:top w:type="dxa" w:w="110"/>
              <w:left w:type="dxa" w:w="150"/>
              <w:bottom w:type="dxa" w:w="110"/>
              <w:right w:type="dxa" w:w="150"/>
            </w:tcMar>
          </w:tcPr>
          <w:p>
            <w:pPr>
              <w:spacing w:after="70"/>
            </w:pPr>
            <w:r>
              <w:rPr>
                <w:rFonts w:ascii="Open Sans" w:cs="Open Sans" w:eastAsia="Open Sans" w:hAnsi="Open Sans"/>
                <w:b/>
                <w:bCs/>
                <w:i w:val="false"/>
                <w:iCs w:val="false"/>
                <w:color w:val="1A1A1A"/>
                <w:sz w:val="20"/>
                <w:szCs w:val="20"/>
              </w:rPr>
              <w:t xml:space="preserve">Covers: </w:t>
            </w:r>
            <w:r>
              <w:rPr>
                <w:rFonts w:ascii="Open Sans" w:cs="Open Sans" w:eastAsia="Open Sans" w:hAnsi="Open Sans"/>
                <w:b w:val="false"/>
                <w:bCs w:val="false"/>
                <w:i w:val="false"/>
                <w:iCs w:val="false"/>
                <w:color w:val="1A1A1A"/>
                <w:sz w:val="20"/>
                <w:szCs w:val="20"/>
              </w:rPr>
              <w:t xml:space="preserve">workplace conduct and professional expectations; CV and application craft; interview and workplace communication basics; introductory professional responsibility.</w:t>
            </w:r>
          </w:p>
          <w:p>
            <w:pPr>
              <w:spacing w:after="70"/>
            </w:pPr>
            <w:r>
              <w:rPr>
                <w:rFonts w:ascii="Open Sans" w:cs="Open Sans" w:eastAsia="Open Sans" w:hAnsi="Open Sans"/>
                <w:b/>
                <w:bCs/>
                <w:i w:val="false"/>
                <w:iCs w:val="false"/>
                <w:color w:val="1A1A1A"/>
                <w:sz w:val="20"/>
                <w:szCs w:val="20"/>
              </w:rPr>
              <w:t xml:space="preserve">Does NOT cover: </w:t>
            </w:r>
            <w:r>
              <w:rPr>
                <w:rFonts w:ascii="Open Sans" w:cs="Open Sans" w:eastAsia="Open Sans" w:hAnsi="Open Sans"/>
                <w:b w:val="false"/>
                <w:bCs w:val="false"/>
                <w:i w:val="false"/>
                <w:iCs w:val="false"/>
                <w:color w:val="1A1A1A"/>
                <w:sz w:val="20"/>
                <w:szCs w:val="20"/>
              </w:rPr>
              <w:t xml:space="preserve">ethics depth and professional-standing strategy (HND exit block); communication-skills breadth (Effective Communication Skills I and II).</w:t>
            </w:r>
          </w:p>
          <w:p>
            <w:pPr>
              <w:spacing w:after="70"/>
            </w:pPr>
            <w:r>
              <w:rPr>
                <w:rFonts w:ascii="Open Sans" w:cs="Open Sans" w:eastAsia="Open Sans" w:hAnsi="Open Sans"/>
                <w:b w:val="false"/>
                <w:bCs w:val="false"/>
                <w:i/>
                <w:iCs/>
                <w:color w:val="1A1A1A"/>
                <w:sz w:val="19"/>
                <w:szCs w:val="19"/>
              </w:rPr>
              <w:t xml:space="preserve">The boundary text is identical wherever the module is carried and changes only through the School's formal change-control process.</w:t>
            </w:r>
          </w:p>
        </w:tc>
      </w:tr>
    </w:tbl>
    <w:p>
      <w:pPr>
        <w:pStyle w:val="Heading2"/>
        <w:spacing w:after="130" w:before="240"/>
      </w:pPr>
      <w:r>
        <w:rPr>
          <w:rFonts w:ascii="Open Sans" w:cs="Open Sans" w:eastAsia="Open Sans" w:hAnsi="Open Sans"/>
          <w:b/>
          <w:bCs/>
          <w:i w:val="false"/>
          <w:iCs w:val="false"/>
          <w:color w:val="3F3F3F"/>
          <w:sz w:val="24"/>
          <w:szCs w:val="24"/>
        </w:rPr>
        <w:t xml:space="preserve">3. Learning Outcomes</w:t>
      </w:r>
    </w:p>
    <w:p>
      <w:pPr>
        <w:spacing w:after="150" w:line="274"/>
      </w:pPr>
      <w:r>
        <w:rPr>
          <w:rFonts w:ascii="Open Sans" w:cs="Open Sans" w:eastAsia="Open Sans" w:hAnsi="Open Sans"/>
          <w:b w:val="false"/>
          <w:bCs w:val="false"/>
          <w:i w:val="false"/>
          <w:iCs w:val="false"/>
          <w:color w:val="1A1A1A"/>
          <w:sz w:val="21"/>
          <w:szCs w:val="21"/>
        </w:rPr>
        <w:t xml:space="preserve">On successful completion of this module, the student will be able 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726"/>
        <w:gridCol w:w="2500"/>
      </w:tblGrid>
      <w:tr>
        <w:trPr>
          <w:tblHeader/>
        </w:trPr>
        <w:tc>
          <w:tcPr>
            <w:tcW w:type="dxa" w:w="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Ref</w:t>
            </w:r>
          </w:p>
        </w:tc>
        <w:tc>
          <w:tcPr>
            <w:tcW w:type="dxa" w:w="57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Intended Learning Outcome</w:t>
            </w:r>
          </w:p>
        </w:tc>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Bloom level</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LO1</w:t>
            </w:r>
          </w:p>
        </w:tc>
        <w:tc>
          <w:tcPr>
            <w:tcW w:type="dxa" w:w="57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Demonstrate expected workplace conduct and professional communication in computing settings.</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Apply</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LO2</w:t>
            </w:r>
          </w:p>
        </w:tc>
        <w:tc>
          <w:tcPr>
            <w:tcW w:type="dxa" w:w="57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Produce application materials (CV, profile) that evidence competencies honestly and effectively.</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Apply</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LO3</w:t>
            </w:r>
          </w:p>
        </w:tc>
        <w:tc>
          <w:tcPr>
            <w:tcW w:type="dxa" w:w="57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Explain the responsibilities of an entry-level computing professional.</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Understand</w:t>
            </w:r>
          </w:p>
        </w:tc>
      </w:tr>
    </w:tbl>
    <w:p>
      <w:pPr>
        <w:pStyle w:val="Heading3"/>
        <w:spacing w:after="110" w:before="180"/>
      </w:pPr>
      <w:r>
        <w:rPr>
          <w:rFonts w:ascii="Open Sans" w:cs="Open Sans" w:eastAsia="Open Sans" w:hAnsi="Open Sans"/>
          <w:b/>
          <w:bCs/>
          <w:i w:val="false"/>
          <w:iCs w:val="false"/>
          <w:color w:val="595959"/>
          <w:sz w:val="21"/>
          <w:szCs w:val="21"/>
        </w:rPr>
        <w:t xml:space="preserve">Exit-Award Orientation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EB5600" w:sz="22"/>
              <w:bottom w:val="single" w:color="CCCCCC" w:sz="2"/>
              <w:right w:val="single" w:color="CCCCCC" w:sz="2"/>
            </w:tcBorders>
            <w:shd w:fill="FFF8F5" w:val="clear"/>
            <w:tcMar>
              <w:top w:type="dxa" w:w="110"/>
              <w:left w:type="dxa" w:w="150"/>
              <w:bottom w:type="dxa" w:w="110"/>
              <w:right w:type="dxa" w:w="150"/>
            </w:tcMar>
          </w:tcPr>
          <w:p>
            <w:pPr>
              <w:spacing w:after="70"/>
            </w:pPr>
            <w:r>
              <w:rPr>
                <w:rFonts w:ascii="Open Sans" w:cs="Open Sans" w:eastAsia="Open Sans" w:hAnsi="Open Sans"/>
                <w:b w:val="false"/>
                <w:bCs w:val="false"/>
                <w:i w:val="false"/>
                <w:iCs w:val="false"/>
                <w:color w:val="1A1A1A"/>
                <w:sz w:val="20"/>
                <w:szCs w:val="20"/>
              </w:rPr>
              <w:t xml:space="preserve">This is a core competency-evidence module of the Diploma exit award, oriented to the NVQ Level 5 target. Independent-work hours are directed to </w:t>
            </w:r>
            <w:r>
              <w:rPr>
                <w:rFonts w:ascii="Open Sans" w:cs="Open Sans" w:eastAsia="Open Sans" w:hAnsi="Open Sans"/>
                <w:b w:val="false"/>
                <w:bCs w:val="false"/>
                <w:i w:val="false"/>
                <w:iCs w:val="false"/>
                <w:color w:val="1A1A1A"/>
                <w:sz w:val="20"/>
                <w:szCs w:val="20"/>
              </w:rPr>
              <w:t xml:space="preserve">a portfolio of application materials (CV, professional profile) and a workplace-conduct case response, mapped to workplace-readiness competencies against the NVQ Level 5 target.</w:t>
            </w:r>
          </w:p>
          <w:p>
            <w:pPr>
              <w:spacing w:after="70"/>
            </w:pPr>
            <w:r>
              <w:rPr>
                <w:rFonts w:ascii="Open Sans" w:cs="Open Sans" w:eastAsia="Open Sans" w:hAnsi="Open Sans"/>
                <w:b/>
                <w:bCs/>
                <w:i w:val="false"/>
                <w:iCs w:val="false"/>
                <w:color w:val="1A1A1A"/>
                <w:sz w:val="20"/>
                <w:szCs w:val="20"/>
              </w:rPr>
              <w:t xml:space="preserve">TVEC accreditation is an active pursuit and is not yet granted; additional requirements may be introduced, and the competency-evidence mapping remains adaptable to confirmed requirements.</w:t>
            </w:r>
          </w:p>
        </w:tc>
      </w:tr>
    </w:tbl>
    <w:p>
      <w:pPr>
        <w:pStyle w:val="Heading2"/>
        <w:spacing w:after="130" w:before="240"/>
      </w:pPr>
      <w:r>
        <w:rPr>
          <w:rFonts w:ascii="Open Sans" w:cs="Open Sans" w:eastAsia="Open Sans" w:hAnsi="Open Sans"/>
          <w:b/>
          <w:bCs/>
          <w:i w:val="false"/>
          <w:iCs w:val="false"/>
          <w:color w:val="3F3F3F"/>
          <w:sz w:val="24"/>
          <w:szCs w:val="24"/>
        </w:rPr>
        <w:t xml:space="preserve">4. Skills Programme and Delivery</w:t>
      </w:r>
    </w:p>
    <w:p>
      <w:pPr>
        <w:pStyle w:val="Heading3"/>
        <w:spacing w:after="110" w:before="180"/>
      </w:pPr>
      <w:r>
        <w:rPr>
          <w:rFonts w:ascii="Open Sans" w:cs="Open Sans" w:eastAsia="Open Sans" w:hAnsi="Open Sans"/>
          <w:b/>
          <w:bCs/>
          <w:i w:val="false"/>
          <w:iCs w:val="false"/>
          <w:color w:val="595959"/>
          <w:sz w:val="21"/>
          <w:szCs w:val="21"/>
        </w:rPr>
        <w:t xml:space="preserve">Workshop Programme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226"/>
        <w:gridCol w:w="2000"/>
      </w:tblGrid>
      <w:tr>
        <w:trPr>
          <w:tblHeader/>
        </w:trPr>
        <w:tc>
          <w:tcPr>
            <w:tcW w:type="dxa" w:w="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Ref</w:t>
            </w:r>
          </w:p>
        </w:tc>
        <w:tc>
          <w:tcPr>
            <w:tcW w:type="dxa" w:w="62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Theme</w:t>
            </w:r>
          </w:p>
        </w:tc>
        <w:tc>
          <w:tcPr>
            <w:tcW w:type="dxa" w:w="20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Hours</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W1</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The workplace: conduct, expectations and professional norms</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W2</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Application craft: CV and professional profile</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W3</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Interview and workplace communication basics</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W4</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Responsibilities of an entry-level professional</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W5</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Practice and consolidation: mock scenarios and review</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
            </w:r>
          </w:p>
        </w:tc>
        <w:tc>
          <w:tcPr>
            <w:tcW w:type="dxa" w:w="6226"/>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Total workshop hours</w:t>
            </w:r>
          </w:p>
        </w:tc>
        <w:tc>
          <w:tcPr>
            <w:tcW w:type="dxa" w:w="20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15</w:t>
            </w:r>
          </w:p>
        </w:tc>
      </w:tr>
    </w:tbl>
    <w:p>
      <w:pPr>
        <w:spacing w:after="150" w:line="274"/>
      </w:pPr>
      <w:r>
        <w:rPr>
          <w:rFonts w:ascii="Open Sans" w:cs="Open Sans" w:eastAsia="Open Sans" w:hAnsi="Open Sans"/>
          <w:b w:val="false"/>
          <w:bCs w:val="false"/>
          <w:i w:val="false"/>
          <w:iCs w:val="false"/>
          <w:color w:val="1A1A1A"/>
          <w:sz w:val="20"/>
          <w:szCs w:val="20"/>
        </w:rPr>
        <w:t xml:space="preserve">Workshops run as five three-hour blocks. Facilitated activities build the evidence artefacts; coaching gives individual feedback on developing portfolio pieces; independent work completes the competency-evidence portfolio.</w:t>
      </w:r>
    </w:p>
    <w:p>
      <w:pPr>
        <w:pStyle w:val="Heading3"/>
        <w:spacing w:after="110" w:before="180"/>
      </w:pPr>
      <w:r>
        <w:rPr>
          <w:rFonts w:ascii="Open Sans" w:cs="Open Sans" w:eastAsia="Open Sans" w:hAnsi="Open Sans"/>
          <w:b/>
          <w:bCs/>
          <w:i w:val="false"/>
          <w:iCs w:val="false"/>
          <w:color w:val="595959"/>
          <w:sz w:val="21"/>
          <w:szCs w:val="21"/>
        </w:rPr>
        <w:t xml:space="preserve">Engagement Hours (SLQF)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26"/>
        <w:gridCol w:w="2500"/>
      </w:tblGrid>
      <w:tr>
        <w:trPr>
          <w:tblHeader/>
        </w:trPr>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Hours</w:t>
            </w:r>
          </w:p>
        </w:tc>
      </w:tr>
      <w:tr>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Taught workshops</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15</w:t>
            </w:r>
          </w:p>
        </w:tc>
      </w:tr>
      <w:tr>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Facilitated activities</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21</w:t>
            </w:r>
          </w:p>
        </w:tc>
      </w:tr>
      <w:tr>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Coaching / feedback sessions</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9</w:t>
            </w:r>
          </w:p>
        </w:tc>
      </w:tr>
      <w:tr>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Independent work (competency-evidence artefacts)</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55</w:t>
            </w:r>
          </w:p>
        </w:tc>
      </w:tr>
      <w:tr>
        <w:tc>
          <w:tcPr>
            <w:tcW w:type="dxa" w:w="6526"/>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Total</w:t>
            </w:r>
          </w:p>
        </w:tc>
        <w:tc>
          <w:tcPr>
            <w:tcW w:type="dxa" w:w="25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100</w:t>
            </w:r>
          </w:p>
        </w:tc>
      </w:tr>
    </w:tbl>
    <w:p>
      <w:pPr>
        <w:pStyle w:val="Heading2"/>
        <w:spacing w:after="130" w:before="240"/>
      </w:pPr>
      <w:r>
        <w:rPr>
          <w:rFonts w:ascii="Open Sans" w:cs="Open Sans" w:eastAsia="Open Sans" w:hAnsi="Open Sans"/>
          <w:b/>
          <w:bCs/>
          <w:i w:val="false"/>
          <w:iCs w:val="false"/>
          <w:color w:val="3F3F3F"/>
          <w:sz w:val="24"/>
          <w:szCs w:val="24"/>
        </w:rPr>
        <w:t xml:space="preserve">5. Assessment</w:t>
      </w:r>
    </w:p>
    <w:p>
      <w:pPr>
        <w:spacing w:after="150" w:line="274"/>
      </w:pPr>
      <w:r>
        <w:rPr>
          <w:rFonts w:ascii="Open Sans" w:cs="Open Sans" w:eastAsia="Open Sans" w:hAnsi="Open Sans"/>
          <w:b w:val="false"/>
          <w:bCs w:val="false"/>
          <w:i w:val="false"/>
          <w:iCs w:val="false"/>
          <w:color w:val="1A1A1A"/>
          <w:sz w:val="21"/>
          <w:szCs w:val="21"/>
        </w:rPr>
        <w:t xml:space="preserve">Weightings are confirmed at specification sign-off. No examination is carried: this is a skills module by design. Assessment artefacts are structured as auditable competency evidence for the exit award.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100"/>
        <w:gridCol w:w="1300"/>
        <w:gridCol w:w="1000"/>
      </w:tblGrid>
      <w:tr>
        <w:trPr>
          <w:tblHeader/>
        </w:trPr>
        <w:tc>
          <w:tcPr>
            <w:tcW w:type="dxa" w:w="16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32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Task</w:t>
            </w:r>
          </w:p>
        </w:tc>
        <w:tc>
          <w:tcPr>
            <w:tcW w:type="dxa" w:w="21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Conditions</w:t>
            </w:r>
          </w:p>
        </w:tc>
        <w:tc>
          <w:tcPr>
            <w:tcW w:type="dxa" w:w="13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Outcomes assessed</w:t>
            </w:r>
          </w:p>
        </w:tc>
        <w:tc>
          <w:tcPr>
            <w:tcW w:type="dxa" w:w="10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Weight</w:t>
            </w:r>
          </w:p>
        </w:tc>
      </w:tr>
      <w:tr>
        <w:tc>
          <w:tcPr>
            <w:tcW w:type="dxa" w:w="1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Coursework</w:t>
            </w:r>
          </w:p>
        </w:tc>
        <w:tc>
          <w:tcPr>
            <w:tcW w:type="dxa" w:w="32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Application portfolio: CV, professional profile and a written workplace-conduct case response</w:t>
            </w:r>
          </w:p>
        </w:tc>
        <w:tc>
          <w:tcPr>
            <w:tcW w:type="dxa" w:w="21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Individual; take-home; graded; Viva/Presentation: None</w:t>
            </w:r>
          </w:p>
        </w:tc>
        <w:tc>
          <w:tcPr>
            <w:tcW w:type="dxa" w:w="13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LO2, LO3</w:t>
            </w:r>
          </w:p>
        </w:tc>
        <w:tc>
          <w:tcPr>
            <w:tcW w:type="dxa" w:w="1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60%</w:t>
            </w:r>
          </w:p>
        </w:tc>
      </w:tr>
      <w:tr>
        <w:tc>
          <w:tcPr>
            <w:tcW w:type="dxa" w:w="16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Coursework (in-class)</w:t>
            </w:r>
          </w:p>
        </w:tc>
        <w:tc>
          <w:tcPr>
            <w:tcW w:type="dxa" w:w="32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Practical professional scenario: a conduct-and-communication simulation with reflection</w:t>
            </w:r>
          </w:p>
        </w:tc>
        <w:tc>
          <w:tcPr>
            <w:tcW w:type="dxa" w:w="21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Individual; in-class; graded; Viva/Presentation: Presentation</w:t>
            </w:r>
          </w:p>
        </w:tc>
        <w:tc>
          <w:tcPr>
            <w:tcW w:type="dxa" w:w="13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LO1, LO3</w:t>
            </w:r>
          </w:p>
        </w:tc>
        <w:tc>
          <w:tcPr>
            <w:tcW w:type="dxa" w:w="1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40%</w:t>
            </w:r>
          </w:p>
        </w:tc>
      </w:tr>
    </w:tbl>
    <w:p>
      <w:pPr>
        <w:spacing w:after="150" w:line="274"/>
      </w:pPr>
      <w:r>
        <w:rPr>
          <w:rFonts w:ascii="Open Sans" w:cs="Open Sans" w:eastAsia="Open Sans" w:hAnsi="Open Sans"/>
          <w:b w:val="false"/>
          <w:bCs w:val="false"/>
          <w:i w:val="false"/>
          <w:iCs w:val="false"/>
          <w:color w:val="1A1A1A"/>
          <w:sz w:val="20"/>
          <w:szCs w:val="20"/>
        </w:rPr>
        <w:t xml:space="preserve">Reassessment is by the failed component only, with an equivalent task, per School regulations. All assessment is conducted under the School's academic integrity policy, including its provisions on the use of generative AI.</w:t>
      </w:r>
    </w:p>
    <w:p>
      <w:pPr>
        <w:pStyle w:val="Heading2"/>
        <w:spacing w:after="130" w:before="240"/>
      </w:pPr>
      <w:r>
        <w:rPr>
          <w:rFonts w:ascii="Open Sans" w:cs="Open Sans" w:eastAsia="Open Sans" w:hAnsi="Open Sans"/>
          <w:b/>
          <w:bCs/>
          <w:i w:val="false"/>
          <w:iCs w:val="false"/>
          <w:color w:val="3F3F3F"/>
          <w:sz w:val="24"/>
          <w:szCs w:val="24"/>
        </w:rPr>
        <w:t xml:space="preserve">6. Resources, Staff and Governance</w:t>
      </w:r>
    </w:p>
    <w:p>
      <w:pPr>
        <w:pStyle w:val="Heading3"/>
        <w:spacing w:after="110" w:before="180"/>
      </w:pPr>
      <w:r>
        <w:rPr>
          <w:rFonts w:ascii="Open Sans" w:cs="Open Sans" w:eastAsia="Open Sans" w:hAnsi="Open Sans"/>
          <w:b/>
          <w:bCs/>
          <w:i w:val="false"/>
          <w:iCs w:val="false"/>
          <w:color w:val="595959"/>
          <w:sz w:val="21"/>
          <w:szCs w:val="21"/>
        </w:rPr>
        <w:t xml:space="preserve">Indicative Reading</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School-produced professional-practice workbook and application-materials templates, confirmed at teaching-plan stage.</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A current professional-conduct reference for the computing sector (for example a recognised computing-society code of conduct), selected use.</w:t>
      </w:r>
    </w:p>
    <w:p>
      <w:pPr>
        <w:spacing w:after="150" w:line="274"/>
      </w:pPr>
      <w:r>
        <w:rPr>
          <w:rFonts w:ascii="Open Sans" w:cs="Open Sans" w:eastAsia="Open Sans" w:hAnsi="Open Sans"/>
          <w:b w:val="false"/>
          <w:bCs w:val="false"/>
          <w:i/>
          <w:iCs/>
          <w:color w:val="1A1A1A"/>
          <w:sz w:val="19"/>
          <w:szCs w:val="19"/>
        </w:rPr>
        <w:t xml:space="preserve">Reading lists are indicative and are confirmed by the module leaders; editions per current holdings.</w:t>
      </w:r>
    </w:p>
    <w:p>
      <w:pPr>
        <w:pStyle w:val="Heading3"/>
        <w:spacing w:after="110" w:before="180"/>
      </w:pPr>
      <w:r>
        <w:rPr>
          <w:rFonts w:ascii="Open Sans" w:cs="Open Sans" w:eastAsia="Open Sans" w:hAnsi="Open Sans"/>
          <w:b/>
          <w:bCs/>
          <w:i w:val="false"/>
          <w:iCs w:val="false"/>
          <w:color w:val="595959"/>
          <w:sz w:val="21"/>
          <w:szCs w:val="21"/>
        </w:rPr>
        <w:t xml:space="preserve">Staffing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Role</w:t>
            </w:r>
          </w:p>
        </w:tc>
        <w:tc>
          <w:tcPr>
            <w:tcW w:type="dxa" w:w="32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Name</w:t>
            </w:r>
          </w:p>
        </w:tc>
        <w:tc>
          <w:tcPr>
            <w:tcW w:type="dxa" w:w="32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Domain credential</w:t>
            </w:r>
          </w:p>
        </w:tc>
      </w:tr>
      <w:tr>
        <w:tc>
          <w:tcPr>
            <w:tcW w:type="dxa" w:w="2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 1</w:t>
            </w:r>
          </w:p>
        </w:tc>
        <w:tc>
          <w:tcPr>
            <w:tcW w:type="dxa" w:w="32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6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 2</w:t>
            </w:r>
          </w:p>
        </w:tc>
        <w:tc>
          <w:tcPr>
            <w:tcW w:type="dxa" w:w="32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External module auditor</w:t>
            </w:r>
          </w:p>
        </w:tc>
        <w:tc>
          <w:tcPr>
            <w:tcW w:type="dxa" w:w="32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bl>
    <w:p>
      <w:pPr>
        <w:spacing w:after="150" w:line="274"/>
      </w:pPr>
      <w:r>
        <w:rPr>
          <w:rFonts w:ascii="Open Sans" w:cs="Open Sans" w:eastAsia="Open Sans" w:hAnsi="Open Sans"/>
          <w:b/>
          <w:bCs/>
          <w:i w:val="false"/>
          <w:iCs w:val="false"/>
          <w:color w:val="1A1A1A"/>
          <w:sz w:val="20"/>
          <w:szCs w:val="20"/>
        </w:rPr>
        <w:t xml:space="preserve">Domain-expertise statement: </w:t>
      </w:r>
      <w:r>
        <w:rPr>
          <w:rFonts w:ascii="Open Sans" w:cs="Open Sans" w:eastAsia="Open Sans" w:hAnsi="Open Sans"/>
          <w:b w:val="false"/>
          <w:bCs w:val="false"/>
          <w:i w:val="false"/>
          <w:iCs w:val="false"/>
          <w:color w:val="1A1A1A"/>
          <w:sz w:val="20"/>
          <w:szCs w:val="20"/>
        </w:rPr>
        <w:t xml:space="preserve">Delivered from professional-practice and employability expertise within the computing sector; generic delivery is non-compliant.</w:t>
      </w:r>
    </w:p>
    <w:p>
      <w:pPr>
        <w:pStyle w:val="Heading3"/>
        <w:spacing w:after="110" w:before="180"/>
      </w:pPr>
      <w:r>
        <w:rPr>
          <w:rFonts w:ascii="Open Sans" w:cs="Open Sans" w:eastAsia="Open Sans" w:hAnsi="Open Sans"/>
          <w:b/>
          <w:bCs/>
          <w:i w:val="false"/>
          <w:iCs w:val="false"/>
          <w:color w:val="595959"/>
          <w:sz w:val="21"/>
          <w:szCs w:val="21"/>
        </w:rPr>
        <w:t xml:space="preserve">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600"/>
        <w:gridCol w:w="1826"/>
      </w:tblGrid>
      <w:tr>
        <w:trPr>
          <w:tblHeader/>
        </w:trPr>
        <w:tc>
          <w:tcPr>
            <w:tcW w:type="dxa" w:w="2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Stage</w:t>
            </w:r>
          </w:p>
        </w:tc>
        <w:tc>
          <w:tcPr>
            <w:tcW w:type="dxa" w:w="2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Name / Body</w:t>
            </w:r>
          </w:p>
        </w:tc>
        <w:tc>
          <w:tcPr>
            <w:tcW w:type="dxa" w:w="16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Date</w:t>
            </w:r>
          </w:p>
        </w:tc>
        <w:tc>
          <w:tcPr>
            <w:tcW w:type="dxa" w:w="18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Signature</w:t>
            </w:r>
          </w:p>
        </w:tc>
      </w:tr>
      <w:tr>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leaders</w:t>
            </w:r>
          </w:p>
        </w:tc>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External module auditor</w:t>
            </w:r>
          </w:p>
        </w:tc>
        <w:tc>
          <w:tcPr>
            <w:tcW w:type="dxa" w:w="2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Curriculum Committee</w:t>
            </w:r>
          </w:p>
        </w:tc>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2026-07-20T09:52:02.114Z</dcterms:created>
  <dcterms:modified xsi:type="dcterms:W3CDTF">2026-07-20T09:52:02.114Z</dcterms:modified>
</cp:coreProperties>
</file>

<file path=docProps/custom.xml><?xml version="1.0" encoding="utf-8"?>
<Properties xmlns="http://schemas.openxmlformats.org/officeDocument/2006/custom-properties" xmlns:vt="http://schemas.openxmlformats.org/officeDocument/2006/docPropsVTypes"/>
</file>