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Mathematical Thinking</w:t>
      </w:r>
    </w:p>
    <w:p>
      <w:pPr>
        <w:spacing w:after="350" w:line="274"/>
      </w:pPr>
      <w:r>
        <w:rPr>
          <w:rFonts w:ascii="Open Sans" w:cs="Open Sans" w:eastAsia="Open Sans" w:hAnsi="Open Sans"/>
          <w:b w:val="false"/>
          <w:bCs w:val="false"/>
          <w:i w:val="false"/>
          <w:iCs w:val="false"/>
          <w:color w:val="595959"/>
          <w:sz w:val="22"/>
          <w:szCs w:val="22"/>
        </w:rPr>
        <w:t xml:space="preserve">NB-SOCE-L3-CM-TT-02  ·  Institution-Wide Common (Tier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module descriptor</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 verbatim-identical wherever carried</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Mathematical Thinking</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NB-SOCE-L3-CM-TT-02</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Mathematical Thinking</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Institution-wide common (Tier 1) · Common / Taught</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3 (Year 1)  ·  4 credits  ·  200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 verbatim-identical wherever carried</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None beyond the common foundation</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Session-based: 3-hour blocks; 22 lecture sessions plus tutorials, practicals and demonstration per the hours profile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4-credit (A-4), the School hours model</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build the shared quantitative foundation the four pathways' feeder chains genuinely require, delivered as mathematics for computing rather than generic service mathematics. The the credit recalibration fourth credit answers a named pressure: insufficient time at the cohort's pace. The rebuild therefore changes the pedagogy, not just the hours: every strand enters through a concrete computing artefact before formalism, every session runs a concept-practice-consolidate cycle, and the expanded conceptual treatment of sets, relations and functions becomes the grounding on which linear algebra and probability are built.</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discrete structures with expanded conceptual treatment of sets, relations and functions; linear algebra foundations (vectors, matrix arithmetic) grounded in the discrete foundations; baseline probability (sample spaces, conditional probability, Bayes, random variables, distributions) grounded likewise; elementary modular arithmetic supporting Level 5 applied cryptography (NB5004CEM); a hands-on, pragmatic mathematics treatment throughout, paced for the cohort.</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statistical inference machinery; eigen-decomposition and calculus (owner named in each pathway's records where carried); applied statistical modelling (pathway and Coventry owners named in each pathway's records).</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Use the language of logic, sets, relations and functions to describe computing structures.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Perform vector and matrix operations on computing-derived data.</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Reason about uncertainty using foundational probability grounded in discrete models.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 Analyse</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LO4</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modular arithmetic to elementary applied-cryptography problems.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bl>
    <w:p>
      <w:pPr>
        <w:pStyle w:val="Heading2"/>
        <w:spacing w:after="130" w:before="240"/>
      </w:pPr>
      <w:r>
        <w:rPr>
          <w:rFonts w:ascii="Open Sans" w:cs="Open Sans" w:eastAsia="Open Sans" w:hAnsi="Open Sans"/>
          <w:b/>
          <w:bCs/>
          <w:i w:val="false"/>
          <w:iCs w:val="false"/>
          <w:color w:val="3F3F3F"/>
          <w:sz w:val="24"/>
          <w:szCs w:val="24"/>
        </w:rPr>
        <w:t xml:space="preserve">4. Curriculum and Delivery</w:t>
      </w:r>
    </w:p>
    <w:p>
      <w:pPr>
        <w:pStyle w:val="Heading3"/>
        <w:spacing w:after="110" w:before="180"/>
      </w:pPr>
      <w:r>
        <w:rPr>
          <w:rFonts w:ascii="Open Sans" w:cs="Open Sans" w:eastAsia="Open Sans" w:hAnsi="Open Sans"/>
          <w:b/>
          <w:bCs/>
          <w:i w:val="false"/>
          <w:iCs w:val="false"/>
          <w:color w:val="595959"/>
          <w:sz w:val="21"/>
          <w:szCs w:val="21"/>
        </w:rPr>
        <w:t xml:space="preserve">Indicative Syllabus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Unit</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Content</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Lecture 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Mathematical language and structured reasoning: statements, conditions and quantifiers through code logic</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Sets, relations and functions grounded in data and code: collections, links, mappings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15</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Linear algebra foundations through computing artefacts: vectors as data, matrices as images, graphs and transformations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15</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Probability foundations grounded in discrete structures: counting to distributions through logs, spam and games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15</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Modular arithmetic for applied cryptography: clock arithmetic to key exchange intuition</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U6</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Integrative pragmatic workshops: cross-strand problem clinics on realistic computing scenarios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lecture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66</w:t>
            </w:r>
          </w:p>
        </w:tc>
      </w:tr>
    </w:tbl>
    <w:p>
      <w:pPr>
        <w:spacing w:after="150" w:line="274"/>
      </w:pPr>
      <w:r>
        <w:rPr>
          <w:rFonts w:ascii="Open Sans" w:cs="Open Sans" w:eastAsia="Open Sans" w:hAnsi="Open Sans"/>
          <w:b w:val="false"/>
          <w:bCs w:val="false"/>
          <w:i w:val="false"/>
          <w:iCs w:val="false"/>
          <w:color w:val="1A1A1A"/>
          <w:sz w:val="20"/>
          <w:szCs w:val="20"/>
        </w:rPr>
        <w:t xml:space="preserve">66 lecture hours are delivered as 22 three-hour sessions, each structured as a concept-practice-consolidate cycle: roughly one hour of new concept through a computing artefact, and two hours of scaffolded worked practice. This is the cohort-pacing device of the credit recalibration, delivered through session design rather than any banding, streaming or naming of student groups.</w:t>
      </w:r>
    </w:p>
    <w:p>
      <w:pPr>
        <w:pStyle w:val="Heading3"/>
        <w:spacing w:after="110" w:before="180"/>
      </w:pPr>
      <w:r>
        <w:rPr>
          <w:rFonts w:ascii="Open Sans" w:cs="Open Sans" w:eastAsia="Open Sans" w:hAnsi="Open Sans"/>
          <w:b/>
          <w:bCs/>
          <w:i w:val="false"/>
          <w:iCs w:val="false"/>
          <w:color w:val="595959"/>
          <w:sz w:val="21"/>
          <w:szCs w:val="21"/>
        </w:rPr>
        <w:t xml:space="preserve">Pedagogical Design</w:t>
      </w:r>
    </w:p>
    <w:p>
      <w:pPr>
        <w:spacing w:after="150" w:line="274"/>
      </w:pPr>
      <w:r>
        <w:rPr>
          <w:rFonts w:ascii="Open Sans" w:cs="Open Sans" w:eastAsia="Open Sans" w:hAnsi="Open Sans"/>
          <w:b w:val="false"/>
          <w:bCs w:val="false"/>
          <w:i w:val="false"/>
          <w:iCs w:val="false"/>
          <w:color w:val="1A1A1A"/>
          <w:sz w:val="21"/>
          <w:szCs w:val="21"/>
        </w:rPr>
        <w:t xml:space="preserve">Three commitments define the module's delivery and are binding on the specification and teaching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Commitment</w:t>
            </w:r>
          </w:p>
        </w:tc>
        <w:tc>
          <w:tcPr>
            <w:tcW w:type="dxa" w:w="64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Meaning in delivery</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Artefact-first entry</w:t>
            </w:r>
          </w:p>
        </w:tc>
        <w:tc>
          <w:tcPr>
            <w:tcW w:type="dxa" w:w="64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No strand opens with formalism. Sets enter through data collections, relations through database links, functions through code functions, matrices through images and adjacency structures, probability through logs and filtering, modular arithmetic through clock and checksum behaviour.</w:t>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Concept-practice-consolidate cycle</w:t>
            </w:r>
          </w:p>
        </w:tc>
        <w:tc>
          <w:tcPr>
            <w:tcW w:type="dxa" w:w="64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Every session: one hour of concept through the artefact, two hours of scaffolded practice ending in a consolidation exercise that feeds the portfolio. Practice is the majority of contact time by design.</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Grounded progression</w:t>
            </w:r>
          </w:p>
        </w:tc>
        <w:tc>
          <w:tcPr>
            <w:tcW w:type="dxa" w:w="64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Later units explicitly reuse earlier objects (vectors as functions on index sets; sample spaces as sets; events as subsets), so the cohort meets new mathematics as extensions of mastered structures, never as fresh starts.</w:t>
            </w:r>
          </w:p>
        </w:tc>
      </w:tr>
    </w:tbl>
    <w:p>
      <w:pPr>
        <w:spacing w:after="150" w:line="274"/>
      </w:pPr>
      <w:r>
        <w:rPr>
          <w:rFonts w:ascii="Open Sans" w:cs="Open Sans" w:eastAsia="Open Sans" w:hAnsi="Open Sans"/>
          <w:b w:val="false"/>
          <w:bCs w:val="false"/>
          <w:i/>
          <w:iCs/>
          <w:color w:val="1A1A1A"/>
          <w:sz w:val="20"/>
          <w:szCs w:val="20"/>
        </w:rPr>
        <w:t xml:space="preserve">The pacing device is structural, not nominal: nothing in naming, banding or grouping identifies any student segment.</w:t>
      </w:r>
    </w:p>
    <w:p>
      <w:pPr>
        <w:pStyle w:val="Heading3"/>
        <w:spacing w:after="110" w:before="180"/>
      </w:pPr>
      <w:r>
        <w:rPr>
          <w:rFonts w:ascii="Open Sans" w:cs="Open Sans" w:eastAsia="Open Sans" w:hAnsi="Open Sans"/>
          <w:b/>
          <w:bCs/>
          <w:i w:val="false"/>
          <w:iCs w:val="false"/>
          <w:color w:val="595959"/>
          <w:sz w:val="21"/>
          <w:szCs w:val="21"/>
        </w:rPr>
        <w:t xml:space="preserve">Teaching and Learning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Lectures (fixed)</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66</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Tutorials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15</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Practicals / Laboratory</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30</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In-class assignments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Demonstration</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Self-guided study</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74</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200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Where no examination is listed, the module carries none by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100"/>
        <w:gridCol w:w="1300"/>
        <w:gridCol w:w="1000"/>
      </w:tblGrid>
      <w:tr>
        <w:trPr>
          <w:tblHeader/>
        </w:trPr>
        <w:tc>
          <w:tcPr>
            <w:tcW w:type="dxa" w:w="1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w:t>
            </w:r>
          </w:p>
        </w:tc>
        <w:tc>
          <w:tcPr>
            <w:tcW w:type="dxa" w:w="3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Practice portfolio: cumulative computing-anchored problem sets across all strands, assembled session by session under the concept-practice-consolidate cycle</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graded; Viva/Presentation: None</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 LO4</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40%</w:t>
            </w:r>
          </w:p>
        </w:tc>
      </w:tr>
      <w:tr>
        <w:tc>
          <w:tcPr>
            <w:tcW w:type="dxa" w:w="1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 (in-class)</w:t>
            </w:r>
          </w:p>
        </w:tc>
        <w:tc>
          <w:tcPr>
            <w:tcW w:type="dxa" w:w="3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Supervised mid-point techniques test: discrete structures and linear algebra; 1 hour</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in-class (supervised); graded; Viva/Presentation: None</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20%</w:t>
            </w:r>
          </w:p>
        </w:tc>
      </w:tr>
      <w:tr>
        <w:tc>
          <w:tcPr>
            <w:tcW w:type="dxa" w:w="1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Examination</w:t>
            </w:r>
          </w:p>
        </w:tc>
        <w:tc>
          <w:tcPr>
            <w:tcW w:type="dxa" w:w="3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Written examination: techniques and applied reasoning across discrete structures, linear algebra, probability and modular arithmetic; 2 hours, closed resources, invigilated</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Graded</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 LO4</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Epp, S. S., Discrete Mathematics with Applications (Cengage) - primary text; the gentlest rigorous on-ramp for U1 and U2.</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Rosen, K. H., Discrete Mathematics and Its Applications (McGraw-Hill) - problem bank and the modular arithmetic strand.</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Lay, D. C., Lay, S. R. and McDonald, J. J., Linear Algebra and Its Applications (Pearson) - foundational chapters only, within the module boundary.</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computing-anchored practice sets (the portfolio spine), authored by the module leaders and confirmed at teaching-plan stage.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library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Taught from mathematics-for-computing expertise with demonstrated cohort-paced teaching practice; generic service-mathematics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2026-07-20T09:10:52.225Z</dcterms:created>
  <dcterms:modified xsi:type="dcterms:W3CDTF">2026-07-20T09:10:52.226Z</dcterms:modified>
</cp:coreProperties>
</file>

<file path=docProps/custom.xml><?xml version="1.0" encoding="utf-8"?>
<Properties xmlns="http://schemas.openxmlformats.org/officeDocument/2006/custom-properties" xmlns:vt="http://schemas.openxmlformats.org/officeDocument/2006/docPropsVTypes"/>
</file>