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Algorithmic Thinking</w:t>
      </w:r>
    </w:p>
    <w:p>
      <w:pPr>
        <w:spacing w:after="350" w:line="274"/>
      </w:pPr>
      <w:r>
        <w:rPr>
          <w:rFonts w:ascii="Open Sans" w:cs="Open Sans" w:eastAsia="Open Sans" w:hAnsi="Open Sans"/>
          <w:b w:val="false"/>
          <w:bCs w:val="false"/>
          <w:i w:val="false"/>
          <w:iCs w:val="false"/>
          <w:color w:val="595959"/>
          <w:sz w:val="22"/>
          <w:szCs w:val="22"/>
        </w:rPr>
        <w:t xml:space="preserve">NB-SOCE-L3-CM-TT-03  ·  Institution-Wide Common (Tier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 verbatim-identical wherever carried</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Algorithmic Thinking</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NB-SOCE-L3-CM-TT-03</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Algorithmic Thinking</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(Tier 1)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3 credits  ·  150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 verbatim-identical wherever carried</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beyond the common foundation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16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3-credit (A-3), the School hours model</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develop language-independent algorithmic reasoning: decomposing problems into structured, solvable components; expressing solutions in pseudocode and flow representations; understanding searching, sorting and elementary data structures conceptually; and building an intuition for algorithmic efficiency, deliberately short of formal asymptotic analysis, which is owned downstream. The the credit recalibration re-banding trims hours, not boundary: the conceptual scope is unchanged from the previous cycle.</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problem decomposition; pseudocode and flow representation; searching and sorting concepts; elementary data structures conceptually; complexity intuition (not formal asymptotic analysis).</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implementation in a production language; formal algorithm analysis (owners named in each pathway's records).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Decompose problems into structured, solvable components.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Represent solutions using pseudocode and flow representations.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Compare searching and sorting strategies conceptually.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Reason informally about algorithmic efficiency.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 / Evaluate (informal)</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Problem decomposition and abstraction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Pseudocode and flow representation</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Searching strategies conceptually</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Sorting strategies conceptually</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Elementary data structures conceptually: lists, stacks, queues, trees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Complexity intuition and efficiency reasoning</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48</w:t>
            </w:r>
          </w:p>
        </w:tc>
      </w:tr>
    </w:tbl>
    <w:p>
      <w:pPr>
        <w:spacing w:after="150" w:line="274"/>
      </w:pPr>
      <w:r>
        <w:rPr>
          <w:rFonts w:ascii="Open Sans" w:cs="Open Sans" w:eastAsia="Open Sans" w:hAnsi="Open Sans"/>
          <w:b w:val="false"/>
          <w:bCs w:val="false"/>
          <w:i w:val="false"/>
          <w:iCs w:val="false"/>
          <w:color w:val="1A1A1A"/>
          <w:sz w:val="20"/>
          <w:szCs w:val="20"/>
        </w:rPr>
        <w:t xml:space="preserve">48 lecture hours are delivered as 16 three-hour sessions; the the credit recalibration trim removes 18 the previous cycle-plan lecture hours through tightened practice density, not scope loss. Outcome coverage note: U5 (elementary data structures) is the conceptual substrate for LO3 and LO4 - the searching, sorting and efficiency reasoning in U3, U4 and U6 is taught over these structures - and is assessed through the design portfolio rather than as a standalone outcome, consistent with the four learning outcomes.</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48</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24</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Algorithm design portfolio: five to six graded problems, each with decomposition, pseudocode over elementary data structures and an informal efficiency argument</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Supervised design-and-reasoning test: decomposition, representation and conceptual comparison of strategies; 90 minutes</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(supervised); graded; Viva/Presentation: None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Cormen, T. H., Algorithms Unlocked (MIT Press) - conceptual treatment matched to the pre-formal register.</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Denning, P. J. and Tedre, M., Computational Thinking (MIT Press) - decomposition and abstraction framing.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Polya, G., How to Solve It (Princeton) - problem-decomposition heritage text, selected use.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pseudocode convention guide and graded problem sets,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algorithms and computational-thinking expertise;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2026-07-20T09:10:52.418Z</dcterms:created>
  <dcterms:modified xsi:type="dcterms:W3CDTF">2026-07-20T09:10:52.418Z</dcterms:modified>
</cp:coreProperties>
</file>

<file path=docProps/custom.xml><?xml version="1.0" encoding="utf-8"?>
<Properties xmlns="http://schemas.openxmlformats.org/officeDocument/2006/custom-properties" xmlns:vt="http://schemas.openxmlformats.org/officeDocument/2006/docPropsVTypes"/>
</file>