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line="274"/>
      </w:pPr>
      <w:r>
        <w:rPr>
          <w:rFonts w:ascii="Open Sans" w:cs="Open Sans" w:eastAsia="Open Sans" w:hAnsi="Open Sans"/>
          <w:b w:val="false"/>
          <w:bCs w:val="false"/>
          <w:i w:val="false"/>
          <w:iCs w:val="false"/>
          <w:color w:val="1A1A1A"/>
          <w:sz w:val="21"/>
          <w:szCs w:val="21"/>
        </w:rPr>
        <w:t xml:space="preserve"/>
      </w:r>
    </w:p>
    <w:p>
      <w:pPr>
        <w:spacing w:after="50" w:line="274"/>
      </w:pPr>
      <w:r>
        <w:rPr>
          <w:rFonts w:ascii="Open Sans" w:cs="Open Sans" w:eastAsia="Open Sans" w:hAnsi="Open Sans"/>
          <w:b/>
          <w:bCs/>
          <w:i w:val="false"/>
          <w:iCs w:val="false"/>
          <w:color w:val="1A1A1A"/>
          <w:sz w:val="27"/>
          <w:szCs w:val="27"/>
        </w:rPr>
        <w:t xml:space="preserve">National Institute of Business Management</w:t>
      </w:r>
    </w:p>
    <w:p>
      <w:pPr>
        <w:spacing w:after="350" w:line="274"/>
      </w:pPr>
      <w:r>
        <w:rPr>
          <w:rFonts w:ascii="Open Sans" w:cs="Open Sans" w:eastAsia="Open Sans" w:hAnsi="Open Sans"/>
          <w:b w:val="false"/>
          <w:bCs w:val="false"/>
          <w:i w:val="false"/>
          <w:iCs w:val="false"/>
          <w:color w:val="595959"/>
          <w:sz w:val="23"/>
          <w:szCs w:val="23"/>
        </w:rPr>
        <w:t xml:space="preserve">School of Computing and Engineering</w:t>
      </w:r>
    </w:p>
    <w:p>
      <w:pPr>
        <w:pBdr>
          <w:bottom w:val="single" w:color="595959" w:sz="16"/>
        </w:pBdr>
        <w:spacing w:after="280"/>
      </w:pPr>
      <w:r>
        <w:rPr>
          <w:rFonts w:ascii="Open Sans" w:cs="Open Sans" w:eastAsia="Open Sans" w:hAnsi="Open Sans"/>
          <w:b w:val="false"/>
          <w:bCs w:val="false"/>
          <w:i w:val="false"/>
          <w:iCs w:val="false"/>
          <w:color w:val="1A1A1A"/>
          <w:sz w:val="21"/>
          <w:szCs w:val="21"/>
        </w:rPr>
        <w:t xml:space="preserve"/>
      </w:r>
    </w:p>
    <w:p>
      <w:pPr>
        <w:spacing w:after="100" w:line="274"/>
      </w:pPr>
      <w:r>
        <w:rPr>
          <w:rFonts w:ascii="Open Sans" w:cs="Open Sans" w:eastAsia="Open Sans" w:hAnsi="Open Sans"/>
          <w:b/>
          <w:bCs/>
          <w:i w:val="false"/>
          <w:iCs w:val="false"/>
          <w:color w:val="1A1A1A"/>
          <w:sz w:val="31"/>
          <w:szCs w:val="31"/>
        </w:rPr>
        <w:t xml:space="preserve">Module Descriptor - Digital Electronics and Logic Design</w:t>
      </w:r>
    </w:p>
    <w:p>
      <w:pPr>
        <w:spacing w:after="350" w:line="274"/>
      </w:pPr>
      <w:r>
        <w:rPr>
          <w:rFonts w:ascii="Open Sans" w:cs="Open Sans" w:eastAsia="Open Sans" w:hAnsi="Open Sans"/>
          <w:b w:val="false"/>
          <w:bCs w:val="false"/>
          <w:i w:val="false"/>
          <w:iCs w:val="false"/>
          <w:color w:val="595959"/>
          <w:sz w:val="22"/>
          <w:szCs w:val="22"/>
        </w:rPr>
        <w:t xml:space="preserve">NB-SOCE-L3-CM-TT-04  ·  Institution-Wide Common (Tier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Document status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Draft for Review - v1.1</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Purpose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Specification-stage module descriptor</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Prepared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SOCE Curriculum Committee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Date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July 2026</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Authoritative sources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School curriculum decision records; the Sri Lanka Qualifications Framework (University Grants Commission, 2015)</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Applies to</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All four SOCE pathways - verbatim-identical wherever carried</w:t>
            </w:r>
          </w:p>
        </w:tc>
      </w:tr>
    </w:tbl>
    <w:p>
      <w:r>
        <w:br w:type="page"/>
      </w:r>
    </w:p>
    <w:p>
      <w:pPr>
        <w:pStyle w:val="Heading1"/>
        <w:spacing w:after="150" w:before="320"/>
      </w:pPr>
      <w:r>
        <w:rPr>
          <w:rFonts w:ascii="Open Sans" w:cs="Open Sans" w:eastAsia="Open Sans" w:hAnsi="Open Sans"/>
          <w:b/>
          <w:bCs/>
          <w:i w:val="false"/>
          <w:iCs w:val="false"/>
          <w:color w:val="1A1A1A"/>
          <w:sz w:val="29"/>
          <w:szCs w:val="29"/>
        </w:rPr>
        <w:t xml:space="preserve">Module Descriptor: Digital Electronics and Logic Design</w:t>
      </w:r>
    </w:p>
    <w:p>
      <w:pPr>
        <w:pStyle w:val="Heading2"/>
        <w:spacing w:after="130" w:before="240"/>
      </w:pPr>
      <w:r>
        <w:rPr>
          <w:rFonts w:ascii="Open Sans" w:cs="Open Sans" w:eastAsia="Open Sans" w:hAnsi="Open Sans"/>
          <w:b/>
          <w:bCs/>
          <w:i w:val="false"/>
          <w:iCs w:val="false"/>
          <w:color w:val="3F3F3F"/>
          <w:sz w:val="24"/>
          <w:szCs w:val="24"/>
        </w:rPr>
        <w:t xml:space="preserve">1. Module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code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NB-SOCE-L3-CM-TT-04</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title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Digital Electronics and Logic Design</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Scope / type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Institution-wide common (Tier 1) · Common / Taught</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SLQF level / credits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Level 3 (Year 1)  ·  3 credits  ·  150 notional hours (1 credit = 50 hours)</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Carried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All four SOCE pathways - verbatim-identical wherever carried</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Prerequisites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None beyond the common foundation</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Delivery mode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Session-based: 3-hour blocks; 16 lecture sessions plus tutorials, practicals and demonstration per the hours profile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Hours profile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Taught 3-credit (A-3), the School hours model; laboratory-weighted adjustment permitted at specification within the invariants</w:t>
            </w:r>
          </w:p>
        </w:tc>
      </w:tr>
    </w:tbl>
    <w:p>
      <w:pPr>
        <w:pStyle w:val="Heading2"/>
        <w:spacing w:after="130" w:before="240"/>
      </w:pPr>
      <w:r>
        <w:rPr>
          <w:rFonts w:ascii="Open Sans" w:cs="Open Sans" w:eastAsia="Open Sans" w:hAnsi="Open Sans"/>
          <w:b/>
          <w:bCs/>
          <w:i w:val="false"/>
          <w:iCs w:val="false"/>
          <w:color w:val="3F3F3F"/>
          <w:sz w:val="24"/>
          <w:szCs w:val="24"/>
        </w:rPr>
        <w:t xml:space="preserve">2. Module Purpose and Aims</w:t>
      </w:r>
    </w:p>
    <w:p>
      <w:pPr>
        <w:spacing w:after="150" w:line="274"/>
      </w:pPr>
      <w:r>
        <w:rPr>
          <w:rFonts w:ascii="Open Sans" w:cs="Open Sans" w:eastAsia="Open Sans" w:hAnsi="Open Sans"/>
          <w:b w:val="false"/>
          <w:bCs w:val="false"/>
          <w:i w:val="false"/>
          <w:iCs w:val="false"/>
          <w:color w:val="1A1A1A"/>
          <w:sz w:val="21"/>
          <w:szCs w:val="21"/>
        </w:rPr>
        <w:t xml:space="preserve">To give every SOCE student a genuine hardware foundation: designing and verifying digital logic, understanding the electronic components that realise it, and seeing the bridge from gates to processor operation. This module is the School's hardware shift in curricular form - the full answer to the stakeholder issues that the previous cycle's software-only strand deferred - and it is deliberately laboratory-based: students build and test what they design.</w:t>
      </w:r>
    </w:p>
    <w:p>
      <w:pPr>
        <w:pStyle w:val="Heading3"/>
        <w:spacing w:after="110" w:before="180"/>
      </w:pPr>
      <w:r>
        <w:rPr>
          <w:rFonts w:ascii="Open Sans" w:cs="Open Sans" w:eastAsia="Open Sans" w:hAnsi="Open Sans"/>
          <w:b/>
          <w:bCs/>
          <w:i w:val="false"/>
          <w:iCs w:val="false"/>
          <w:color w:val="595959"/>
          <w:sz w:val="21"/>
          <w:szCs w:val="21"/>
        </w:rPr>
        <w:t xml:space="preserve">Specification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595959" w:sz="22"/>
              <w:bottom w:val="single" w:color="CCCCCC" w:sz="2"/>
              <w:right w:val="single" w:color="CCCCCC" w:sz="2"/>
            </w:tcBorders>
            <w:shd w:fill="F7F7F7" w:val="clear"/>
            <w:tcMar>
              <w:top w:type="dxa" w:w="110"/>
              <w:left w:type="dxa" w:w="150"/>
              <w:bottom w:type="dxa" w:w="110"/>
              <w:right w:type="dxa" w:w="150"/>
            </w:tcMar>
          </w:tcPr>
          <w:p>
            <w:pPr>
              <w:spacing w:after="70"/>
            </w:pPr>
            <w:r>
              <w:rPr>
                <w:rFonts w:ascii="Open Sans" w:cs="Open Sans" w:eastAsia="Open Sans" w:hAnsi="Open Sans"/>
                <w:b/>
                <w:bCs/>
                <w:i w:val="false"/>
                <w:iCs w:val="false"/>
                <w:color w:val="1A1A1A"/>
                <w:sz w:val="20"/>
                <w:szCs w:val="20"/>
              </w:rPr>
              <w:t xml:space="preserve">Covers: </w:t>
            </w:r>
            <w:r>
              <w:rPr>
                <w:rFonts w:ascii="Open Sans" w:cs="Open Sans" w:eastAsia="Open Sans" w:hAnsi="Open Sans"/>
                <w:b w:val="false"/>
                <w:bCs w:val="false"/>
                <w:i w:val="false"/>
                <w:iCs w:val="false"/>
                <w:color w:val="1A1A1A"/>
                <w:sz w:val="20"/>
                <w:szCs w:val="20"/>
              </w:rPr>
              <w:t xml:space="preserve">combinational and sequential logic design; digital electronics fundamentals at introductory laboratory level (components, gates, simple circuits); the bridge from logic to computer organisation and processor operation; number systems applied in hardware; laboratory practice throughout.</w:t>
            </w:r>
          </w:p>
          <w:p>
            <w:pPr>
              <w:spacing w:after="70"/>
            </w:pPr>
            <w:r>
              <w:rPr>
                <w:rFonts w:ascii="Open Sans" w:cs="Open Sans" w:eastAsia="Open Sans" w:hAnsi="Open Sans"/>
                <w:b/>
                <w:bCs/>
                <w:i w:val="false"/>
                <w:iCs w:val="false"/>
                <w:color w:val="1A1A1A"/>
                <w:sz w:val="20"/>
                <w:szCs w:val="20"/>
              </w:rPr>
              <w:t xml:space="preserve">Does NOT cover: </w:t>
            </w:r>
            <w:r>
              <w:rPr>
                <w:rFonts w:ascii="Open Sans" w:cs="Open Sans" w:eastAsia="Open Sans" w:hAnsi="Open Sans"/>
                <w:b w:val="false"/>
                <w:bCs w:val="false"/>
                <w:i w:val="false"/>
                <w:iCs w:val="false"/>
                <w:color w:val="1A1A1A"/>
                <w:sz w:val="20"/>
                <w:szCs w:val="20"/>
              </w:rPr>
              <w:t xml:space="preserve">embedded systems programming; electronics engineering depth; pathway infrastructure content (the boundary with NEC's Operating Systems and Infrastructure is policed at specification stage - OS&amp;I keeps its systems-administration substrate, DELD owns logic and electronics).</w:t>
            </w:r>
          </w:p>
          <w:p>
            <w:pPr>
              <w:spacing w:after="70"/>
            </w:pPr>
            <w:r>
              <w:rPr>
                <w:rFonts w:ascii="Open Sans" w:cs="Open Sans" w:eastAsia="Open Sans" w:hAnsi="Open Sans"/>
                <w:b w:val="false"/>
                <w:bCs w:val="false"/>
                <w:i/>
                <w:iCs/>
                <w:color w:val="1A1A1A"/>
                <w:sz w:val="19"/>
                <w:szCs w:val="19"/>
              </w:rPr>
              <w:t xml:space="preserve">The boundary text is identical wherever the module is carried and changes only through the School's formal change-control process.</w:t>
            </w:r>
          </w:p>
        </w:tc>
      </w:tr>
    </w:tbl>
    <w:p>
      <w:pPr>
        <w:pStyle w:val="Heading2"/>
        <w:spacing w:after="130" w:before="240"/>
      </w:pPr>
      <w:r>
        <w:rPr>
          <w:rFonts w:ascii="Open Sans" w:cs="Open Sans" w:eastAsia="Open Sans" w:hAnsi="Open Sans"/>
          <w:b/>
          <w:bCs/>
          <w:i w:val="false"/>
          <w:iCs w:val="false"/>
          <w:color w:val="3F3F3F"/>
          <w:sz w:val="24"/>
          <w:szCs w:val="24"/>
        </w:rPr>
        <w:t xml:space="preserve">3. Learning Outcomes</w:t>
      </w:r>
    </w:p>
    <w:p>
      <w:pPr>
        <w:spacing w:after="150" w:line="274"/>
      </w:pPr>
      <w:r>
        <w:rPr>
          <w:rFonts w:ascii="Open Sans" w:cs="Open Sans" w:eastAsia="Open Sans" w:hAnsi="Open Sans"/>
          <w:b w:val="false"/>
          <w:bCs w:val="false"/>
          <w:i w:val="false"/>
          <w:iCs w:val="false"/>
          <w:color w:val="1A1A1A"/>
          <w:sz w:val="21"/>
          <w:szCs w:val="21"/>
        </w:rPr>
        <w:t xml:space="preserve">On successful completion of this module, the student will be able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726"/>
        <w:gridCol w:w="25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57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Intended Learning Outcome</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Bloom level</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Design and verify combinational and sequential logic circuits.</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 / introductory Create (defended, see K-SAM note)</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LO2</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Explain the operation of common digital electronic components within simple circuits.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Understand</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LO3</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Relate logic-level design to computer organisation and processor operation.</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Understand / Apply</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LO4</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Build and test digital circuits using laboratory instruments and simulation tools.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 (K-SAM category 7)</w:t>
            </w:r>
          </w:p>
        </w:tc>
      </w:tr>
    </w:tbl>
    <w:p>
      <w:pPr>
        <w:pStyle w:val="Heading2"/>
        <w:spacing w:after="130" w:before="240"/>
      </w:pPr>
      <w:r>
        <w:rPr>
          <w:rFonts w:ascii="Open Sans" w:cs="Open Sans" w:eastAsia="Open Sans" w:hAnsi="Open Sans"/>
          <w:b/>
          <w:bCs/>
          <w:i w:val="false"/>
          <w:iCs w:val="false"/>
          <w:color w:val="3F3F3F"/>
          <w:sz w:val="24"/>
          <w:szCs w:val="24"/>
        </w:rPr>
        <w:t xml:space="preserve">4. Curriculum and Delivery</w:t>
      </w:r>
    </w:p>
    <w:p>
      <w:pPr>
        <w:pStyle w:val="Heading3"/>
        <w:spacing w:after="110" w:before="180"/>
      </w:pPr>
      <w:r>
        <w:rPr>
          <w:rFonts w:ascii="Open Sans" w:cs="Open Sans" w:eastAsia="Open Sans" w:hAnsi="Open Sans"/>
          <w:b/>
          <w:bCs/>
          <w:i w:val="false"/>
          <w:iCs w:val="false"/>
          <w:color w:val="595959"/>
          <w:sz w:val="21"/>
          <w:szCs w:val="21"/>
        </w:rPr>
        <w:t xml:space="preserve">Indicative Syllabus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26"/>
        <w:gridCol w:w="20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Unit</w:t>
            </w:r>
          </w:p>
        </w:tc>
        <w:tc>
          <w:tcPr>
            <w:tcW w:type="dxa" w:w="6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Content</w:t>
            </w:r>
          </w:p>
        </w:tc>
        <w:tc>
          <w:tcPr>
            <w:tcW w:type="dxa" w:w="2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Lecture hours</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U1</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Number systems in hardware and switching fundamentals</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U2</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Logic gates and Boolean algebra</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U3</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Combinational logic design (laboratory)</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12</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U4</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Sequential logic design: latches, flip-flops, registers, counters (laboratory)</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12</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U5</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From logic to computer organisation: ALU, memory and the processor bridge</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U6</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Digital electronics fundamentals: components and simple circuits</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
            </w:r>
          </w:p>
        </w:tc>
        <w:tc>
          <w:tcPr>
            <w:tcW w:type="dxa" w:w="62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 lecture hours</w:t>
            </w:r>
          </w:p>
        </w:tc>
        <w:tc>
          <w:tcPr>
            <w:tcW w:type="dxa" w:w="20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48</w:t>
            </w:r>
          </w:p>
        </w:tc>
      </w:tr>
    </w:tbl>
    <w:p>
      <w:pPr>
        <w:spacing w:after="150" w:line="274"/>
      </w:pPr>
      <w:r>
        <w:rPr>
          <w:rFonts w:ascii="Open Sans" w:cs="Open Sans" w:eastAsia="Open Sans" w:hAnsi="Open Sans"/>
          <w:b w:val="false"/>
          <w:bCs w:val="false"/>
          <w:i w:val="false"/>
          <w:iCs w:val="false"/>
          <w:color w:val="1A1A1A"/>
          <w:sz w:val="20"/>
          <w:szCs w:val="20"/>
        </w:rPr>
        <w:t xml:space="preserve">48 lecture hours are delivered as 16 three-hour sessions, with U3 and U4 run as integrated design-and-build laboratory sessions. The A-3 practicals and demonstration components carry the hands-on build time; a laboratory-weighted shift among timetabled components is expected at specification stage within the the session-pattern calibration invariants.</w:t>
      </w:r>
    </w:p>
    <w:p>
      <w:pPr>
        <w:pStyle w:val="Heading3"/>
        <w:spacing w:after="110" w:before="180"/>
      </w:pPr>
      <w:r>
        <w:rPr>
          <w:rFonts w:ascii="Open Sans" w:cs="Open Sans" w:eastAsia="Open Sans" w:hAnsi="Open Sans"/>
          <w:b/>
          <w:bCs/>
          <w:i w:val="false"/>
          <w:iCs w:val="false"/>
          <w:color w:val="595959"/>
          <w:sz w:val="21"/>
          <w:szCs w:val="21"/>
        </w:rPr>
        <w:t xml:space="preserve">Level Register of the Practical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595959" w:sz="22"/>
              <w:bottom w:val="single" w:color="CCCCCC" w:sz="2"/>
              <w:right w:val="single" w:color="CCCCCC" w:sz="2"/>
            </w:tcBorders>
            <w:shd w:fill="F7F7F7" w:val="clear"/>
            <w:tcMar>
              <w:top w:type="dxa" w:w="110"/>
              <w:left w:type="dxa" w:w="150"/>
              <w:bottom w:type="dxa" w:w="110"/>
              <w:right w:type="dxa" w:w="150"/>
            </w:tcMar>
          </w:tcPr>
          <w:p>
            <w:pPr>
              <w:spacing w:after="70"/>
            </w:pPr>
            <w:r>
              <w:rPr>
                <w:rFonts w:ascii="Open Sans" w:cs="Open Sans" w:eastAsia="Open Sans" w:hAnsi="Open Sans"/>
                <w:b w:val="false"/>
                <w:bCs w:val="false"/>
                <w:i w:val="false"/>
                <w:iCs w:val="false"/>
                <w:color w:val="1A1A1A"/>
                <w:sz w:val="20"/>
                <w:szCs w:val="20"/>
              </w:rPr>
              <w:t xml:space="preserve">The design and build verbs in the practical outcomes sit above the typical Level 3 cognitive ladder and are defended under the SLQF's practical and psychomotor skills category: introductory circuit design from a truth-table specification, and laboratory construction and testing against it, are genuine skill performances at this level, standard in first-year digital-logic provision internationally. The cognitive-domain outcomes sit at the conventional Level 3 register. This position travels into the compliance narrative of the validation submission.</w:t>
            </w:r>
          </w:p>
        </w:tc>
      </w:tr>
    </w:tbl>
    <w:p>
      <w:pPr>
        <w:spacing w:after="150" w:line="274"/>
      </w:pPr>
      <w:r>
        <w:rPr>
          <w:rFonts w:ascii="Open Sans" w:cs="Open Sans" w:eastAsia="Open Sans" w:hAnsi="Open Sans"/>
          <w:b w:val="false"/>
          <w:bCs w:val="false"/>
          <w:i w:val="false"/>
          <w:iCs w:val="false"/>
          <w:color w:val="1A1A1A"/>
          <w:sz w:val="20"/>
          <w:szCs w:val="20"/>
        </w:rPr>
        <w:t xml:space="preserve">The module's two institutional resourcing commitments are stated openly: laboratory kit provision, and electronics-capable teaching staff under the School's domain-expertise delivery rule.</w:t>
      </w:r>
    </w:p>
    <w:p>
      <w:pPr>
        <w:pStyle w:val="Heading3"/>
        <w:spacing w:after="110" w:before="180"/>
      </w:pPr>
      <w:r>
        <w:rPr>
          <w:rFonts w:ascii="Open Sans" w:cs="Open Sans" w:eastAsia="Open Sans" w:hAnsi="Open Sans"/>
          <w:b/>
          <w:bCs/>
          <w:i w:val="false"/>
          <w:iCs w:val="false"/>
          <w:color w:val="595959"/>
          <w:sz w:val="21"/>
          <w:szCs w:val="21"/>
        </w:rPr>
        <w:t xml:space="preserve">Teaching and Learning Hours (SLQF)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Lectures (fixed)</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48</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Tutorials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12</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Practicals / Laboratory</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24</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In-class assignments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Demonstration</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Self-guided study</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54</w:t>
            </w:r>
          </w:p>
        </w:tc>
      </w:tr>
      <w:tr>
        <w:tc>
          <w:tcPr>
            <w:tcW w:type="dxa" w:w="65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w:t>
            </w:r>
          </w:p>
        </w:tc>
        <w:tc>
          <w:tcPr>
            <w:tcW w:type="dxa" w:w="25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150</w:t>
            </w:r>
          </w:p>
        </w:tc>
      </w:tr>
    </w:tbl>
    <w:p>
      <w:pPr>
        <w:pStyle w:val="Heading2"/>
        <w:spacing w:after="130" w:before="240"/>
      </w:pPr>
      <w:r>
        <w:rPr>
          <w:rFonts w:ascii="Open Sans" w:cs="Open Sans" w:eastAsia="Open Sans" w:hAnsi="Open Sans"/>
          <w:b/>
          <w:bCs/>
          <w:i w:val="false"/>
          <w:iCs w:val="false"/>
          <w:color w:val="3F3F3F"/>
          <w:sz w:val="24"/>
          <w:szCs w:val="24"/>
        </w:rPr>
        <w:t xml:space="preserve">5. Assessment</w:t>
      </w:r>
    </w:p>
    <w:p>
      <w:pPr>
        <w:spacing w:after="150" w:line="274"/>
      </w:pPr>
      <w:r>
        <w:rPr>
          <w:rFonts w:ascii="Open Sans" w:cs="Open Sans" w:eastAsia="Open Sans" w:hAnsi="Open Sans"/>
          <w:b w:val="false"/>
          <w:bCs w:val="false"/>
          <w:i w:val="false"/>
          <w:iCs w:val="false"/>
          <w:color w:val="1A1A1A"/>
          <w:sz w:val="21"/>
          <w:szCs w:val="21"/>
        </w:rPr>
        <w:t xml:space="preserve">Weightings are confirmed at specification sign-off. Where no examination is listed, the module carries none by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100"/>
        <w:gridCol w:w="1300"/>
        <w:gridCol w:w="1000"/>
      </w:tblGrid>
      <w:tr>
        <w:trPr>
          <w:tblHeader/>
        </w:trPr>
        <w:tc>
          <w:tcPr>
            <w:tcW w:type="dxa" w:w="1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33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Task</w:t>
            </w:r>
          </w:p>
        </w:tc>
        <w:tc>
          <w:tcPr>
            <w:tcW w:type="dxa" w:w="21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Conditions</w:t>
            </w:r>
          </w:p>
        </w:tc>
        <w:tc>
          <w:tcPr>
            <w:tcW w:type="dxa" w:w="13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Outcomes assessed</w:t>
            </w:r>
          </w:p>
        </w:tc>
        <w:tc>
          <w:tcPr>
            <w:tcW w:type="dxa" w:w="1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Weight</w:t>
            </w:r>
          </w:p>
        </w:tc>
      </w:tr>
      <w:tr>
        <w:tc>
          <w:tcPr>
            <w:tcW w:type="dxa" w:w="1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Practical</w:t>
            </w:r>
          </w:p>
        </w:tc>
        <w:tc>
          <w:tcPr>
            <w:tcW w:type="dxa" w:w="3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Laboratory design-build-verify tasks: specified combinational and sequential circuits designed, built and tested at paired benches, with an individually maintained evidence log per student</w:t>
            </w:r>
          </w:p>
        </w:tc>
        <w:tc>
          <w:tcPr>
            <w:tcW w:type="dxa" w:w="21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Group (n = 2) at the bench; individually logged and graded; in-class</w:t>
            </w:r>
          </w:p>
        </w:tc>
        <w:tc>
          <w:tcPr>
            <w:tcW w:type="dxa" w:w="1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 LO2, LO4</w:t>
            </w:r>
          </w:p>
        </w:tc>
        <w:tc>
          <w:tcPr>
            <w:tcW w:type="dxa" w:w="1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50%</w:t>
            </w:r>
          </w:p>
        </w:tc>
      </w:tr>
      <w:tr>
        <w:tc>
          <w:tcPr>
            <w:tcW w:type="dxa" w:w="1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Examination</w:t>
            </w:r>
          </w:p>
        </w:tc>
        <w:tc>
          <w:tcPr>
            <w:tcW w:type="dxa" w:w="33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Written examination: Boolean algebra, circuit analysis and the logic-to-organisation bridge; 2 hours, closed resources, invigilated</w:t>
            </w:r>
          </w:p>
        </w:tc>
        <w:tc>
          <w:tcPr>
            <w:tcW w:type="dxa" w:w="21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Graded</w:t>
            </w:r>
          </w:p>
        </w:tc>
        <w:tc>
          <w:tcPr>
            <w:tcW w:type="dxa" w:w="13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 LO2, LO3</w:t>
            </w:r>
          </w:p>
        </w:tc>
        <w:tc>
          <w:tcPr>
            <w:tcW w:type="dxa" w:w="1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50%</w:t>
            </w:r>
          </w:p>
        </w:tc>
      </w:tr>
    </w:tbl>
    <w:p>
      <w:pPr>
        <w:spacing w:after="150" w:line="274"/>
      </w:pPr>
      <w:r>
        <w:rPr>
          <w:rFonts w:ascii="Open Sans" w:cs="Open Sans" w:eastAsia="Open Sans" w:hAnsi="Open Sans"/>
          <w:b w:val="false"/>
          <w:bCs w:val="false"/>
          <w:i w:val="false"/>
          <w:iCs w:val="false"/>
          <w:color w:val="1A1A1A"/>
          <w:sz w:val="20"/>
          <w:szCs w:val="20"/>
        </w:rPr>
        <w:t xml:space="preserve">Reassessment is by the failed component only, with an equivalent task, per School regulations. All assessment is conducted under the School's academic integrity policy, including its provisions on the use of generative AI.</w:t>
      </w:r>
    </w:p>
    <w:p>
      <w:pPr>
        <w:pStyle w:val="Heading2"/>
        <w:spacing w:after="130" w:before="240"/>
      </w:pPr>
      <w:r>
        <w:rPr>
          <w:rFonts w:ascii="Open Sans" w:cs="Open Sans" w:eastAsia="Open Sans" w:hAnsi="Open Sans"/>
          <w:b/>
          <w:bCs/>
          <w:i w:val="false"/>
          <w:iCs w:val="false"/>
          <w:color w:val="3F3F3F"/>
          <w:sz w:val="24"/>
          <w:szCs w:val="24"/>
        </w:rPr>
        <w:t xml:space="preserve">6. Resources, Staff and Governance</w:t>
      </w:r>
    </w:p>
    <w:p>
      <w:pPr>
        <w:pStyle w:val="Heading3"/>
        <w:spacing w:after="110" w:before="180"/>
      </w:pPr>
      <w:r>
        <w:rPr>
          <w:rFonts w:ascii="Open Sans" w:cs="Open Sans" w:eastAsia="Open Sans" w:hAnsi="Open Sans"/>
          <w:b/>
          <w:bCs/>
          <w:i w:val="false"/>
          <w:iCs w:val="false"/>
          <w:color w:val="595959"/>
          <w:sz w:val="21"/>
          <w:szCs w:val="21"/>
        </w:rPr>
        <w:t xml:space="preserve">Indicative Reading</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Mano, M. M. and Ciletti, M. D., Digital Design (Pearson) - primary text for logic design.</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Floyd, T. L., Digital Fundamentals (Pearson) - electronics-side support and laboratory grounding.</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Harris, D. and Harris, S., Digital Design and Computer Architecture (Morgan Kaufmann) - selected chapters for the U5 bridge.</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School-produced laboratory manuals and simulation-tool guides (kit-specific), confirmed at teaching-plan stage.</w:t>
      </w:r>
    </w:p>
    <w:p>
      <w:pPr>
        <w:spacing w:after="150" w:line="274"/>
      </w:pPr>
      <w:r>
        <w:rPr>
          <w:rFonts w:ascii="Open Sans" w:cs="Open Sans" w:eastAsia="Open Sans" w:hAnsi="Open Sans"/>
          <w:b w:val="false"/>
          <w:bCs w:val="false"/>
          <w:i/>
          <w:iCs/>
          <w:color w:val="1A1A1A"/>
          <w:sz w:val="19"/>
          <w:szCs w:val="19"/>
        </w:rPr>
        <w:t xml:space="preserve">Reading lists are indicative and are confirmed by the module leaders; editions per current library holdings.</w:t>
      </w:r>
    </w:p>
    <w:p>
      <w:pPr>
        <w:pStyle w:val="Heading3"/>
        <w:spacing w:after="110" w:before="180"/>
      </w:pPr>
      <w:r>
        <w:rPr>
          <w:rFonts w:ascii="Open Sans" w:cs="Open Sans" w:eastAsia="Open Sans" w:hAnsi="Open Sans"/>
          <w:b/>
          <w:bCs/>
          <w:i w:val="false"/>
          <w:iCs w:val="false"/>
          <w:color w:val="595959"/>
          <w:sz w:val="21"/>
          <w:szCs w:val="21"/>
        </w:rPr>
        <w:t xml:space="preserve">Staffing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Role</w:t>
            </w:r>
          </w:p>
        </w:tc>
        <w:tc>
          <w:tcPr>
            <w:tcW w:type="dxa" w:w="32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w:t>
            </w:r>
          </w:p>
        </w:tc>
        <w:tc>
          <w:tcPr>
            <w:tcW w:type="dxa" w:w="3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Domain credential</w:t>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1</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2</w:t>
            </w:r>
          </w:p>
        </w:tc>
        <w:tc>
          <w:tcPr>
            <w:tcW w:type="dxa" w:w="32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p>
      <w:pPr>
        <w:spacing w:after="150" w:line="274"/>
      </w:pPr>
      <w:r>
        <w:rPr>
          <w:rFonts w:ascii="Open Sans" w:cs="Open Sans" w:eastAsia="Open Sans" w:hAnsi="Open Sans"/>
          <w:b/>
          <w:bCs/>
          <w:i w:val="false"/>
          <w:iCs w:val="false"/>
          <w:color w:val="1A1A1A"/>
          <w:sz w:val="20"/>
          <w:szCs w:val="20"/>
        </w:rPr>
        <w:t xml:space="preserve">Domain-expertise statement: </w:t>
      </w:r>
      <w:r>
        <w:rPr>
          <w:rFonts w:ascii="Open Sans" w:cs="Open Sans" w:eastAsia="Open Sans" w:hAnsi="Open Sans"/>
          <w:b w:val="false"/>
          <w:bCs w:val="false"/>
          <w:i w:val="false"/>
          <w:iCs w:val="false"/>
          <w:color w:val="1A1A1A"/>
          <w:sz w:val="20"/>
          <w:szCs w:val="20"/>
        </w:rPr>
        <w:t xml:space="preserve">Taught from digital-electronics and logic-design expertise with laboratory instruction capability; generic delivery is non-compliant. Electronics-capable staffing and laboratory kit are named the School's decision resourcing commitments.</w:t>
      </w:r>
    </w:p>
    <w:p>
      <w:pPr>
        <w:pStyle w:val="Heading3"/>
        <w:spacing w:after="110" w:before="180"/>
      </w:pPr>
      <w:r>
        <w:rPr>
          <w:rFonts w:ascii="Open Sans" w:cs="Open Sans" w:eastAsia="Open Sans" w:hAnsi="Open Sans"/>
          <w:b/>
          <w:bCs/>
          <w:i w:val="false"/>
          <w:iCs w:val="false"/>
          <w:color w:val="595959"/>
          <w:sz w:val="21"/>
          <w:szCs w:val="21"/>
        </w:rPr>
        <w:t xml:space="preserve">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1826"/>
      </w:tblGrid>
      <w:tr>
        <w:trPr>
          <w:tblHeader/>
        </w:trPr>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Stage</w:t>
            </w:r>
          </w:p>
        </w:tc>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 / Body</w:t>
            </w:r>
          </w:p>
        </w:tc>
        <w:tc>
          <w:tcPr>
            <w:tcW w:type="dxa" w:w="1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Date</w:t>
            </w:r>
          </w:p>
        </w:tc>
        <w:tc>
          <w:tcPr>
            <w:tcW w:type="dxa" w:w="18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Signature</w:t>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leaders</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Curriculum Committee</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2026-07-20T09:10:52.526Z</dcterms:created>
  <dcterms:modified xsi:type="dcterms:W3CDTF">2026-07-20T09:10:52.526Z</dcterms:modified>
</cp:coreProperties>
</file>

<file path=docProps/custom.xml><?xml version="1.0" encoding="utf-8"?>
<Properties xmlns="http://schemas.openxmlformats.org/officeDocument/2006/custom-properties" xmlns:vt="http://schemas.openxmlformats.org/officeDocument/2006/docPropsVTypes"/>
</file>