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Module Descriptor</w:t>
      </w:r>
    </w:p>
    <w:p>
      <w:pPr>
        <w:pBdr>
          <w:bottom w:val="single" w:color="595959" w:sz="12" w:space="4"/>
        </w:pBdr>
        <w:spacing w:after="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32"/>
          <w:szCs w:val="32"/>
        </w:rPr>
        <w:t xml:space="preserve">Software Engineering and Systems Analysis</w:t>
      </w:r>
    </w:p>
    <w:p>
      <w:pPr>
        <w:spacing w:after="4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Code: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NB-SOCE-L3-SE-TT-01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Tier: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(Software Engineering)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Type: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/ Taught</w:t>
      </w:r>
    </w:p>
    <w:p>
      <w:pPr>
        <w:spacing w:after="4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Status: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Draft for Review v1.0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Date: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20 Jul 2026</w:t>
      </w:r>
    </w:p>
    <w:p>
      <w:pPr>
        <w:spacing w:after="20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Sources: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School curriculum decision records; Sri Lanka Qualifications Framework (September 2015, University Grants Commission)</w:t>
      </w:r>
    </w:p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1. Module Identity and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Module code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NB-SOCE-L3-SE-TT-01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Module title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Software Engineering and Systems Analysis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Scope / type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Pathway: Computer Science with Software Engineering  ·  Pathway / Taught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SLQF level / credits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Level 3 (Year 1)  ·  4 credits  ·  200 notional hours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Progression targets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NB5000CEM Agile (lifecycle, requirements, analysis and design of information systems); NB5001CEM Designing User Experiences (requirements and user-study grounding); NB6034CEM Software Engineering 2 (the process foundation it extends). The module is the sole home of software-engineering process at the Higher National Diploma level and also supplies project-practice vocabulary drawn on by Business and Project Management Practice.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Programming Concepts (development experience to ground process); delivered alongside Software Architecture Foundations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Delivery mode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Session-based: 3-hour blocks; 22 lecture sessions plus tutorials, practicals and demonstration per the hours profile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Hours profile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Taught 4-credit profile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2. Module Purpose and Aims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module builds the software-engineering process capability of the Software Engineering pathway: how software is taken from an identified need through requirements, analysis and introductory design within a managed lifecycle, and how that work is done in a team. It is the sole home of software-engineering process at the Higher National Diploma level, delivered in Year 1 so that every Year 2 applied-development module can assume it; its progression claims, absorbed systems-analysis territory and prerequisite role are the reasons it holds 4 credits.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scope limit is deliberate: this module carries process, requirements and analysis; it does not carry structural design depth, quality and testing method, user-centred design method or project-management depth, each of which is owned elsewhere in the pathway.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Specification Boundary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595959" w:sz="24"/>
              <w:bottom w:val="none"/>
              <w:right w:val="none"/>
            </w:tcBorders>
            <w:shd w:fill="F7F7F7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Covers: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software development lifecycle and process models; requirements engineering and elicitation; systems analysis and modelling; introductory design; team and project practice.</w:t>
            </w:r>
          </w:p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Does NOT cover: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architectural styles and structural design (Software Architecture Foundations); software quality, testing and delivery automation (Software Quality and Testing); user-centred design and usability method (User Experience and Interaction Design); project-management and business practice depth (Business and Project Management Practice).</w:t>
            </w:r>
          </w:p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Open Sans" w:cs="Open Sans" w:eastAsia="Open Sans" w:hAnsi="Open San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Changes to this boundary are made only through the School’s formal change-control process.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3. Learning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26"/>
        <w:gridCol w:w="240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Intended Learning Outcome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Cognitive level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Describe established software development lifecycles and apply a selected lifecycle to a defined problem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LO2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Elicit and document requirements for an information system using recognised elicitation and specification techniques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LO3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Produce systems-analysis models that interpret a real-world scenario, making initial judgments about scope and structure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LO4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Contribute to a team-based development process, exercising personal responsibility within assigned roles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Skills and professionalism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4. Curriculum and Delivery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Indicative Syllabus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26"/>
        <w:gridCol w:w="140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Lecture hours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U1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software development lifecycle: plan-driven and agile process models; iteration and increments; lifecycle selection for a given problem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U2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Requirements engineering: stakeholders and elicitation techniques; functional and non-functional requirements; user stories and specification documents; validation of requirements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U3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Systems analysis and modelling: use-case, activity, class and sequence modelling; data-flow perspectives; from problem domain to model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U4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Introductory design: from analysis models to design decisions; modularity, cohesion and coupling at first exposure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U5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Team and project practice: roles and responsibilities; version-control workflow; reviews and iteration ceremonies; working agreements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U6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Case integration: an end-to-end analysis case worked across the lifecycle; documentation practice and professional context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lecture hours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66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Sessions run as 3-hour blocks (22 sessions); tutorial, practical, in-class-assignment and demonstration hours support the case-based strand running through Units 2 to 6.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Teaching and Learning Hours (SLQF)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Lectures (fixed)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66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Tutorials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Practicals / Laboratory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In-class assignments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Demonstration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Self-guided study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74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200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5. Assessment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26"/>
        <w:gridCol w:w="2100"/>
        <w:gridCol w:w="1300"/>
        <w:gridCol w:w="8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Learning outcomes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Examination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Unseen written examination, 2 hours, on lifecycle, requirements and analysis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Graded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LO1, LO2, LO3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Coursework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Team requirements-and-analysis portfolio for a supplied scenario; individually maintained evidence logs provide the individual-accountability mechanism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Group (4 members); take-home; Graded; Viva/Presentation: Presentation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LO2, LO3, LO4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Coursework (in-class)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Supervised systems-modelling exercise under open-resource conditions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Individual; in-class; Graded; Viva/Presentation: None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25%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examination is carried because the module’s breadth and the integrity of individual grading against group work require it. Weights sum to 100%; weightings are confirmed at specification sign-off. Reassessment is by failed component. Academic-integrity and generative-AI expectations follow School policy; individually maintained evidence logs and the supervised in-class component anchor individual authorship.</w:t>
      </w:r>
    </w:p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6. Resources, Staff and Governance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Indicative Reading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Sommerville, I., Software Engineering, 10th edition, Pearson.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Dennis, A., Wixom, B. H. and Roth, R. M., Systems Analysis and Design, 8th edition, Wiley.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Cohn, M., User Stories Applied: For Agile Software Development, Addison-Wesley.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School-produced case materials (analysis case pack), named as such; confirmed at teaching-plan confirmation.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Staffing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 credential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Module leader 1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Module leader 2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External module auditor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Domain-expertise statement: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Taught from software-engineering and systems-analysis expertise; generic delivery is non-compliant.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Version and Sign-off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13"/>
        <w:gridCol w:w="2413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Amendment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Jul 2026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descriptor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2026-07-20T10:38:15.132Z</dcterms:created>
  <dcterms:modified xsi:type="dcterms:W3CDTF">2026-07-20T10:38:15.132Z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