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line="274"/>
      </w:pPr>
      <w:r>
        <w:rPr>
          <w:rFonts w:ascii="Open Sans" w:cs="Open Sans" w:eastAsia="Open Sans" w:hAnsi="Open Sans"/>
          <w:b w:val="false"/>
          <w:bCs w:val="false"/>
          <w:i w:val="false"/>
          <w:iCs w:val="false"/>
          <w:color w:val="1A1A1A"/>
          <w:sz w:val="21"/>
          <w:szCs w:val="21"/>
        </w:rPr>
        <w:t xml:space="preserve"/>
      </w:r>
    </w:p>
    <w:p>
      <w:pPr>
        <w:spacing w:after="50" w:line="274"/>
      </w:pPr>
      <w:r>
        <w:rPr>
          <w:rFonts w:ascii="Open Sans" w:cs="Open Sans" w:eastAsia="Open Sans" w:hAnsi="Open Sans"/>
          <w:b/>
          <w:bCs/>
          <w:i w:val="false"/>
          <w:iCs w:val="false"/>
          <w:color w:val="1A1A1A"/>
          <w:sz w:val="27"/>
          <w:szCs w:val="27"/>
        </w:rPr>
        <w:t xml:space="preserve">National Institute of Business Management</w:t>
      </w:r>
    </w:p>
    <w:p>
      <w:pPr>
        <w:spacing w:after="350" w:line="274"/>
      </w:pPr>
      <w:r>
        <w:rPr>
          <w:rFonts w:ascii="Open Sans" w:cs="Open Sans" w:eastAsia="Open Sans" w:hAnsi="Open Sans"/>
          <w:b w:val="false"/>
          <w:bCs w:val="false"/>
          <w:i w:val="false"/>
          <w:iCs w:val="false"/>
          <w:color w:val="595959"/>
          <w:sz w:val="23"/>
          <w:szCs w:val="23"/>
        </w:rPr>
        <w:t xml:space="preserve">School of Computing and Engineering</w:t>
      </w:r>
    </w:p>
    <w:p>
      <w:pPr>
        <w:pBdr>
          <w:bottom w:val="single" w:color="595959" w:sz="16"/>
        </w:pBdr>
        <w:spacing w:after="280"/>
      </w:pPr>
      <w:r>
        <w:rPr>
          <w:rFonts w:ascii="Open Sans" w:cs="Open Sans" w:eastAsia="Open Sans" w:hAnsi="Open Sans"/>
          <w:b w:val="false"/>
          <w:bCs w:val="false"/>
          <w:i w:val="false"/>
          <w:iCs w:val="false"/>
          <w:color w:val="1A1A1A"/>
          <w:sz w:val="21"/>
          <w:szCs w:val="21"/>
        </w:rPr>
        <w:t xml:space="preserve"/>
      </w:r>
    </w:p>
    <w:p>
      <w:pPr>
        <w:spacing w:after="100" w:line="274"/>
      </w:pPr>
      <w:r>
        <w:rPr>
          <w:rFonts w:ascii="Open Sans" w:cs="Open Sans" w:eastAsia="Open Sans" w:hAnsi="Open Sans"/>
          <w:b/>
          <w:bCs/>
          <w:i w:val="false"/>
          <w:iCs w:val="false"/>
          <w:color w:val="1A1A1A"/>
          <w:sz w:val="31"/>
          <w:szCs w:val="31"/>
        </w:rPr>
        <w:t xml:space="preserve">Module Descriptor - Programming, Data Structures and Algorithms I</w:t>
      </w:r>
    </w:p>
    <w:p>
      <w:pPr>
        <w:spacing w:after="350" w:line="274"/>
      </w:pPr>
      <w:r>
        <w:rPr>
          <w:rFonts w:ascii="Open Sans" w:cs="Open Sans" w:eastAsia="Open Sans" w:hAnsi="Open Sans"/>
          <w:b w:val="false"/>
          <w:bCs w:val="false"/>
          <w:i w:val="false"/>
          <w:iCs w:val="false"/>
          <w:color w:val="595959"/>
          <w:sz w:val="22"/>
          <w:szCs w:val="22"/>
        </w:rPr>
        <w:t xml:space="preserve">NB-SOCE-L4-CC-TT-01  ·  Cluster Common (Tier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Field</w:t>
            </w:r>
          </w:p>
        </w:tc>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Value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Document status</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Draft for Review - v1.1</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Purpose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Specification-stage module descriptor</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Prepared by</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SOCE Curriculum Committee</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Date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July 2026</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Authoritative sources</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School curriculum decision records; the Sri Lanka Qualifications Framework (University Grants Commission, 2015)</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Applies to</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CS(SE), CS(AI&amp;DS) - the named feeder anchor for NB5002CEM Programming, Data Structures and Algorithms 2</w:t>
            </w:r>
          </w:p>
        </w:tc>
      </w:tr>
    </w:tbl>
    <w:p>
      <w:r>
        <w:br w:type="page"/>
      </w:r>
    </w:p>
    <w:p>
      <w:pPr>
        <w:pStyle w:val="Heading1"/>
        <w:spacing w:after="150" w:before="320"/>
      </w:pPr>
      <w:r>
        <w:rPr>
          <w:rFonts w:ascii="Open Sans" w:cs="Open Sans" w:eastAsia="Open Sans" w:hAnsi="Open Sans"/>
          <w:b/>
          <w:bCs/>
          <w:i w:val="false"/>
          <w:iCs w:val="false"/>
          <w:color w:val="1A1A1A"/>
          <w:sz w:val="29"/>
          <w:szCs w:val="29"/>
        </w:rPr>
        <w:t xml:space="preserve">Module Descriptor: Programming, Data Structures and Algorithms I</w:t>
      </w:r>
    </w:p>
    <w:p>
      <w:pPr>
        <w:pStyle w:val="Heading2"/>
        <w:spacing w:after="130" w:before="240"/>
      </w:pPr>
      <w:r>
        <w:rPr>
          <w:rFonts w:ascii="Open Sans" w:cs="Open Sans" w:eastAsia="Open Sans" w:hAnsi="Open Sans"/>
          <w:b/>
          <w:bCs/>
          <w:i w:val="false"/>
          <w:iCs w:val="false"/>
          <w:color w:val="3F3F3F"/>
          <w:sz w:val="24"/>
          <w:szCs w:val="24"/>
        </w:rPr>
        <w:t xml:space="preserve">1. Module Identity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Field</w:t>
            </w:r>
          </w:p>
        </w:tc>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Value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code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NB-SOCE-L4-CC-TT-01</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title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Programming, Data Structures and Algorithms I</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Scope / type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Cluster common (Tier 2) · Common / Taught</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SLQF level / credits</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Level 4 (Year 2)  ·  3 credits  ·  150 notional hours (1 credit = 50 hours)</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Carried by</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CS(SE), CS(AI&amp;DS) - the named feeder anchor for NB5002CEM Programming, Data Structures and Algorithms 2. ITB overrides (no NB5002CEM in its destination); NEC does not carry it.</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Prerequisites</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Programming Concepts; Algorithmic Thinking</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Delivery mode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Session-based: 3-hour blocks; 16 lecture sessions plus tutorials, practicals and demonstration per the hours profile</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Hours profile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Taught 3-credit</w:t>
            </w:r>
          </w:p>
        </w:tc>
      </w:tr>
    </w:tbl>
    <w:p>
      <w:pPr>
        <w:pStyle w:val="Heading2"/>
        <w:spacing w:after="130" w:before="240"/>
      </w:pPr>
      <w:r>
        <w:rPr>
          <w:rFonts w:ascii="Open Sans" w:cs="Open Sans" w:eastAsia="Open Sans" w:hAnsi="Open Sans"/>
          <w:b/>
          <w:bCs/>
          <w:i w:val="false"/>
          <w:iCs w:val="false"/>
          <w:color w:val="3F3F3F"/>
          <w:sz w:val="24"/>
          <w:szCs w:val="24"/>
        </w:rPr>
        <w:t xml:space="preserve">2. Module Purpose and Aims</w:t>
      </w:r>
    </w:p>
    <w:p>
      <w:pPr>
        <w:spacing w:after="150" w:line="274"/>
      </w:pPr>
      <w:r>
        <w:rPr>
          <w:rFonts w:ascii="Open Sans" w:cs="Open Sans" w:eastAsia="Open Sans" w:hAnsi="Open Sans"/>
          <w:b w:val="false"/>
          <w:bCs w:val="false"/>
          <w:i w:val="false"/>
          <w:iCs w:val="false"/>
          <w:color w:val="1A1A1A"/>
          <w:sz w:val="21"/>
          <w:szCs w:val="21"/>
        </w:rPr>
        <w:t xml:space="preserve">To implement, in code, the structures and algorithm families that Algorithmic Thinking established conceptually and Programming Concepts made expressible: linked structures, stacks, queues, trees, heaps and hash tables; searching, sorting and recursion; and the shift from complexity intuition to working Big-O analysis. The module is the direct on-ramp to NB5002CEM and deliberately stops short of advanced and distributed algorithms.</w:t>
      </w:r>
    </w:p>
    <w:p>
      <w:pPr>
        <w:pStyle w:val="Heading3"/>
        <w:spacing w:after="110" w:before="180"/>
      </w:pPr>
      <w:r>
        <w:rPr>
          <w:rFonts w:ascii="Open Sans" w:cs="Open Sans" w:eastAsia="Open Sans" w:hAnsi="Open Sans"/>
          <w:b/>
          <w:bCs/>
          <w:i w:val="false"/>
          <w:iCs w:val="false"/>
          <w:color w:val="595959"/>
          <w:sz w:val="21"/>
          <w:szCs w:val="21"/>
        </w:rPr>
        <w:t xml:space="preserve">Specification Boundary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595959" w:sz="22"/>
              <w:bottom w:val="single" w:color="CCCCCC" w:sz="2"/>
              <w:right w:val="single" w:color="CCCCCC" w:sz="2"/>
            </w:tcBorders>
            <w:shd w:fill="F7F7F7" w:val="clear"/>
            <w:tcMar>
              <w:top w:type="dxa" w:w="110"/>
              <w:left w:type="dxa" w:w="150"/>
              <w:bottom w:type="dxa" w:w="110"/>
              <w:right w:type="dxa" w:w="150"/>
            </w:tcMar>
          </w:tcPr>
          <w:p>
            <w:pPr>
              <w:spacing w:after="70"/>
            </w:pPr>
            <w:r>
              <w:rPr>
                <w:rFonts w:ascii="Open Sans" w:cs="Open Sans" w:eastAsia="Open Sans" w:hAnsi="Open Sans"/>
                <w:b/>
                <w:bCs/>
                <w:i w:val="false"/>
                <w:iCs w:val="false"/>
                <w:color w:val="1A1A1A"/>
                <w:sz w:val="20"/>
                <w:szCs w:val="20"/>
              </w:rPr>
              <w:t xml:space="preserve">Covers: </w:t>
            </w:r>
            <w:r>
              <w:rPr>
                <w:rFonts w:ascii="Open Sans" w:cs="Open Sans" w:eastAsia="Open Sans" w:hAnsi="Open Sans"/>
                <w:b w:val="false"/>
                <w:bCs w:val="false"/>
                <w:i w:val="false"/>
                <w:iCs w:val="false"/>
                <w:color w:val="1A1A1A"/>
                <w:sz w:val="20"/>
                <w:szCs w:val="20"/>
              </w:rPr>
              <w:t xml:space="preserve">data structures (linked lists, trees, heaps, hash tables); core algorithm families; complexity (Big-O); introduction to concurrency and data-consistency concepts.</w:t>
            </w:r>
          </w:p>
          <w:p>
            <w:pPr>
              <w:spacing w:after="70"/>
            </w:pPr>
            <w:r>
              <w:rPr>
                <w:rFonts w:ascii="Open Sans" w:cs="Open Sans" w:eastAsia="Open Sans" w:hAnsi="Open Sans"/>
                <w:b/>
                <w:bCs/>
                <w:i w:val="false"/>
                <w:iCs w:val="false"/>
                <w:color w:val="1A1A1A"/>
                <w:sz w:val="20"/>
                <w:szCs w:val="20"/>
              </w:rPr>
              <w:t xml:space="preserve">Does NOT cover: </w:t>
            </w:r>
            <w:r>
              <w:rPr>
                <w:rFonts w:ascii="Open Sans" w:cs="Open Sans" w:eastAsia="Open Sans" w:hAnsi="Open Sans"/>
                <w:b w:val="false"/>
                <w:bCs w:val="false"/>
                <w:i w:val="false"/>
                <w:iCs w:val="false"/>
                <w:color w:val="1A1A1A"/>
                <w:sz w:val="20"/>
                <w:szCs w:val="20"/>
              </w:rPr>
              <w:t xml:space="preserve">advanced and distributed algorithms (NB5002CEM); pathway application stacks (owners named in each pathway's records).</w:t>
            </w:r>
          </w:p>
          <w:p>
            <w:pPr>
              <w:spacing w:after="70"/>
            </w:pPr>
            <w:r>
              <w:rPr>
                <w:rFonts w:ascii="Open Sans" w:cs="Open Sans" w:eastAsia="Open Sans" w:hAnsi="Open Sans"/>
                <w:b w:val="false"/>
                <w:bCs w:val="false"/>
                <w:i/>
                <w:iCs/>
                <w:color w:val="1A1A1A"/>
                <w:sz w:val="19"/>
                <w:szCs w:val="19"/>
              </w:rPr>
              <w:t xml:space="preserve">The boundary text is identical wherever the module is carried and changes only through the School's formal change-control process.</w:t>
            </w:r>
          </w:p>
        </w:tc>
      </w:tr>
    </w:tbl>
    <w:p>
      <w:pPr>
        <w:pStyle w:val="Heading2"/>
        <w:spacing w:after="130" w:before="240"/>
      </w:pPr>
      <w:r>
        <w:rPr>
          <w:rFonts w:ascii="Open Sans" w:cs="Open Sans" w:eastAsia="Open Sans" w:hAnsi="Open Sans"/>
          <w:b/>
          <w:bCs/>
          <w:i w:val="false"/>
          <w:iCs w:val="false"/>
          <w:color w:val="3F3F3F"/>
          <w:sz w:val="24"/>
          <w:szCs w:val="24"/>
        </w:rPr>
        <w:t xml:space="preserve">3. Learning Outcomes</w:t>
      </w:r>
    </w:p>
    <w:p>
      <w:pPr>
        <w:spacing w:after="150" w:line="274"/>
      </w:pPr>
      <w:r>
        <w:rPr>
          <w:rFonts w:ascii="Open Sans" w:cs="Open Sans" w:eastAsia="Open Sans" w:hAnsi="Open Sans"/>
          <w:b w:val="false"/>
          <w:bCs w:val="false"/>
          <w:i w:val="false"/>
          <w:iCs w:val="false"/>
          <w:color w:val="1A1A1A"/>
          <w:sz w:val="21"/>
          <w:szCs w:val="21"/>
        </w:rPr>
        <w:t xml:space="preserve">On successful completion of this module, the student will be able 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726"/>
        <w:gridCol w:w="2500"/>
      </w:tblGrid>
      <w:tr>
        <w:trPr>
          <w:tblHeader/>
        </w:trPr>
        <w:tc>
          <w:tcPr>
            <w:tcW w:type="dxa" w:w="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Ref</w:t>
            </w:r>
          </w:p>
        </w:tc>
        <w:tc>
          <w:tcPr>
            <w:tcW w:type="dxa" w:w="57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Intended Learning Outcome</w:t>
            </w:r>
          </w:p>
        </w:tc>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Bloom level</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w:t>
            </w:r>
          </w:p>
        </w:tc>
        <w:tc>
          <w:tcPr>
            <w:tcW w:type="dxa" w:w="57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Implement core data structures and justify the choice of structure for a given problem.</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 / Analyse</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LO2</w:t>
            </w:r>
          </w:p>
        </w:tc>
        <w:tc>
          <w:tcPr>
            <w:tcW w:type="dxa" w:w="57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Implement and compare searching, sorting and recursive algorithms in code.</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 / Analyse</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LO3</w:t>
            </w:r>
          </w:p>
        </w:tc>
        <w:tc>
          <w:tcPr>
            <w:tcW w:type="dxa" w:w="57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Analyse algorithm and data-structure performance using Big-O reasoning.</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Analyse</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LO4</w:t>
            </w:r>
          </w:p>
        </w:tc>
        <w:tc>
          <w:tcPr>
            <w:tcW w:type="dxa" w:w="57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Explain concurrency and data-consistency concepts as they affect shared data structures.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Understand</w:t>
            </w:r>
          </w:p>
        </w:tc>
      </w:tr>
    </w:tbl>
    <w:p>
      <w:pPr>
        <w:pStyle w:val="Heading2"/>
        <w:spacing w:after="130" w:before="240"/>
      </w:pPr>
      <w:r>
        <w:rPr>
          <w:rFonts w:ascii="Open Sans" w:cs="Open Sans" w:eastAsia="Open Sans" w:hAnsi="Open Sans"/>
          <w:b/>
          <w:bCs/>
          <w:i w:val="false"/>
          <w:iCs w:val="false"/>
          <w:color w:val="3F3F3F"/>
          <w:sz w:val="24"/>
          <w:szCs w:val="24"/>
        </w:rPr>
        <w:t xml:space="preserve">4. Curriculum and Delivery</w:t>
      </w:r>
    </w:p>
    <w:p>
      <w:pPr>
        <w:pStyle w:val="Heading3"/>
        <w:spacing w:after="110" w:before="180"/>
      </w:pPr>
      <w:r>
        <w:rPr>
          <w:rFonts w:ascii="Open Sans" w:cs="Open Sans" w:eastAsia="Open Sans" w:hAnsi="Open Sans"/>
          <w:b/>
          <w:bCs/>
          <w:i w:val="false"/>
          <w:iCs w:val="false"/>
          <w:color w:val="595959"/>
          <w:sz w:val="21"/>
          <w:szCs w:val="21"/>
        </w:rPr>
        <w:t xml:space="preserve">Indicative Syllabus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226"/>
        <w:gridCol w:w="2000"/>
      </w:tblGrid>
      <w:tr>
        <w:trPr>
          <w:tblHeader/>
        </w:trPr>
        <w:tc>
          <w:tcPr>
            <w:tcW w:type="dxa" w:w="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Unit</w:t>
            </w:r>
          </w:p>
        </w:tc>
        <w:tc>
          <w:tcPr>
            <w:tcW w:type="dxa" w:w="62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Content</w:t>
            </w:r>
          </w:p>
        </w:tc>
        <w:tc>
          <w:tcPr>
            <w:tcW w:type="dxa" w:w="20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Lecture hours</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U1</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From conceptual structures to implementations: lists and linked lists</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9</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U2</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Stacks, queues and their applications</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6</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U3</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Trees and heaps</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9</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U4</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Hash tables</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6</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U5</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Core algorithm families in code: searching, sorting, recursion</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9</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U6</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Complexity analysis: Big-O in practice</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6</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U7</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Concurrency and data-consistency concepts: an introduction</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
            </w:r>
          </w:p>
        </w:tc>
        <w:tc>
          <w:tcPr>
            <w:tcW w:type="dxa" w:w="6226"/>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Total lecture hours</w:t>
            </w:r>
          </w:p>
        </w:tc>
        <w:tc>
          <w:tcPr>
            <w:tcW w:type="dxa" w:w="20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48</w:t>
            </w:r>
          </w:p>
        </w:tc>
      </w:tr>
    </w:tbl>
    <w:p>
      <w:pPr>
        <w:spacing w:after="150" w:line="274"/>
      </w:pPr>
      <w:r>
        <w:rPr>
          <w:rFonts w:ascii="Open Sans" w:cs="Open Sans" w:eastAsia="Open Sans" w:hAnsi="Open Sans"/>
          <w:b w:val="false"/>
          <w:bCs w:val="false"/>
          <w:i w:val="false"/>
          <w:iCs w:val="false"/>
          <w:color w:val="1A1A1A"/>
          <w:sz w:val="20"/>
          <w:szCs w:val="20"/>
        </w:rPr>
        <w:t xml:space="preserve">48 lecture hours are delivered as 16 three-hour sessions. THE WORKING LANGUAGE IS JAVA, continuing Programming Concepts. The module assumes Programming Concepts throughout and re-implements nothing from it; Algorithmic Thinking's conceptual treatment is the assumed substrate, formalised here into working analysis.</w:t>
      </w:r>
    </w:p>
    <w:p>
      <w:pPr>
        <w:pStyle w:val="Heading3"/>
        <w:spacing w:after="110" w:before="180"/>
      </w:pPr>
      <w:r>
        <w:rPr>
          <w:rFonts w:ascii="Open Sans" w:cs="Open Sans" w:eastAsia="Open Sans" w:hAnsi="Open Sans"/>
          <w:b/>
          <w:bCs/>
          <w:i w:val="false"/>
          <w:iCs w:val="false"/>
          <w:color w:val="595959"/>
          <w:sz w:val="21"/>
          <w:szCs w:val="21"/>
        </w:rPr>
        <w:t xml:space="preserve">Teaching and Learning Hours (SLQF)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26"/>
        <w:gridCol w:w="2500"/>
      </w:tblGrid>
      <w:tr>
        <w:trPr>
          <w:tblHeader/>
        </w:trPr>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Hours</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Lectures (fixed)</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48</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Tutorials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12</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Practicals / Laboratory</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24</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In-class assignments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9</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Demonstration</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Self-guided study</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54</w:t>
            </w:r>
          </w:p>
        </w:tc>
      </w:tr>
      <w:tr>
        <w:tc>
          <w:tcPr>
            <w:tcW w:type="dxa" w:w="6526"/>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Total</w:t>
            </w:r>
          </w:p>
        </w:tc>
        <w:tc>
          <w:tcPr>
            <w:tcW w:type="dxa" w:w="25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150</w:t>
            </w:r>
          </w:p>
        </w:tc>
      </w:tr>
    </w:tbl>
    <w:p>
      <w:pPr>
        <w:pStyle w:val="Heading2"/>
        <w:spacing w:after="130" w:before="240"/>
      </w:pPr>
      <w:r>
        <w:rPr>
          <w:rFonts w:ascii="Open Sans" w:cs="Open Sans" w:eastAsia="Open Sans" w:hAnsi="Open Sans"/>
          <w:b/>
          <w:bCs/>
          <w:i w:val="false"/>
          <w:iCs w:val="false"/>
          <w:color w:val="3F3F3F"/>
          <w:sz w:val="24"/>
          <w:szCs w:val="24"/>
        </w:rPr>
        <w:t xml:space="preserve">5. Assessment</w:t>
      </w:r>
    </w:p>
    <w:p>
      <w:pPr>
        <w:spacing w:after="150" w:line="274"/>
      </w:pPr>
      <w:r>
        <w:rPr>
          <w:rFonts w:ascii="Open Sans" w:cs="Open Sans" w:eastAsia="Open Sans" w:hAnsi="Open Sans"/>
          <w:b w:val="false"/>
          <w:bCs w:val="false"/>
          <w:i w:val="false"/>
          <w:iCs w:val="false"/>
          <w:color w:val="1A1A1A"/>
          <w:sz w:val="21"/>
          <w:szCs w:val="21"/>
        </w:rPr>
        <w:t xml:space="preserve">Weightings are confirmed at specification sign-off. Where no examination is listed, the module carries none by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2100"/>
        <w:gridCol w:w="1300"/>
        <w:gridCol w:w="1000"/>
      </w:tblGrid>
      <w:tr>
        <w:trPr>
          <w:tblHeader/>
        </w:trPr>
        <w:tc>
          <w:tcPr>
            <w:tcW w:type="dxa" w:w="1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33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Task</w:t>
            </w:r>
          </w:p>
        </w:tc>
        <w:tc>
          <w:tcPr>
            <w:tcW w:type="dxa" w:w="21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Conditions</w:t>
            </w:r>
          </w:p>
        </w:tc>
        <w:tc>
          <w:tcPr>
            <w:tcW w:type="dxa" w:w="13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Outcomes assessed</w:t>
            </w:r>
          </w:p>
        </w:tc>
        <w:tc>
          <w:tcPr>
            <w:tcW w:type="dxa" w:w="10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Weight</w:t>
            </w:r>
          </w:p>
        </w:tc>
      </w:tr>
      <w:tr>
        <w:tc>
          <w:tcPr>
            <w:tcW w:type="dxa" w:w="1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Coursework</w:t>
            </w:r>
          </w:p>
        </w:tc>
        <w:tc>
          <w:tcPr>
            <w:tcW w:type="dxa" w:w="33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Implementation portfolio: data structures and algorithms built to specification, each accompanied by a written complexity argument</w:t>
            </w:r>
          </w:p>
        </w:tc>
        <w:tc>
          <w:tcPr>
            <w:tcW w:type="dxa" w:w="21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Individual; take-home; graded; Viva/Presentation: None</w:t>
            </w:r>
          </w:p>
        </w:tc>
        <w:tc>
          <w:tcPr>
            <w:tcW w:type="dxa" w:w="13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 LO2, LO3</w:t>
            </w:r>
          </w:p>
        </w:tc>
        <w:tc>
          <w:tcPr>
            <w:tcW w:type="dxa" w:w="1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50%</w:t>
            </w:r>
          </w:p>
        </w:tc>
      </w:tr>
      <w:tr>
        <w:tc>
          <w:tcPr>
            <w:tcW w:type="dxa" w:w="1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Examination</w:t>
            </w:r>
          </w:p>
        </w:tc>
        <w:tc>
          <w:tcPr>
            <w:tcW w:type="dxa" w:w="33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Written examination: implementation reasoning, comparative analysis and Big-O; 2 hours, closed resources, invigilated</w:t>
            </w:r>
          </w:p>
        </w:tc>
        <w:tc>
          <w:tcPr>
            <w:tcW w:type="dxa" w:w="21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Graded</w:t>
            </w:r>
          </w:p>
        </w:tc>
        <w:tc>
          <w:tcPr>
            <w:tcW w:type="dxa" w:w="13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LO2, LO3, LO4</w:t>
            </w:r>
          </w:p>
        </w:tc>
        <w:tc>
          <w:tcPr>
            <w:tcW w:type="dxa" w:w="1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50%</w:t>
            </w:r>
          </w:p>
        </w:tc>
      </w:tr>
    </w:tbl>
    <w:p>
      <w:pPr>
        <w:spacing w:after="150" w:line="274"/>
      </w:pPr>
      <w:r>
        <w:rPr>
          <w:rFonts w:ascii="Open Sans" w:cs="Open Sans" w:eastAsia="Open Sans" w:hAnsi="Open Sans"/>
          <w:b w:val="false"/>
          <w:bCs w:val="false"/>
          <w:i w:val="false"/>
          <w:iCs w:val="false"/>
          <w:color w:val="1A1A1A"/>
          <w:sz w:val="20"/>
          <w:szCs w:val="20"/>
        </w:rPr>
        <w:t xml:space="preserve">Reassessment is by the failed component only, with an equivalent task, per School regulations. All assessment is conducted under the School's academic integrity policy, including its provisions on the use of generative AI.</w:t>
      </w:r>
    </w:p>
    <w:p>
      <w:pPr>
        <w:pStyle w:val="Heading2"/>
        <w:spacing w:after="130" w:before="240"/>
      </w:pPr>
      <w:r>
        <w:rPr>
          <w:rFonts w:ascii="Open Sans" w:cs="Open Sans" w:eastAsia="Open Sans" w:hAnsi="Open Sans"/>
          <w:b/>
          <w:bCs/>
          <w:i w:val="false"/>
          <w:iCs w:val="false"/>
          <w:color w:val="3F3F3F"/>
          <w:sz w:val="24"/>
          <w:szCs w:val="24"/>
        </w:rPr>
        <w:t xml:space="preserve">6. Resources, Staff and Governance</w:t>
      </w:r>
    </w:p>
    <w:p>
      <w:pPr>
        <w:pStyle w:val="Heading3"/>
        <w:spacing w:after="110" w:before="180"/>
      </w:pPr>
      <w:r>
        <w:rPr>
          <w:rFonts w:ascii="Open Sans" w:cs="Open Sans" w:eastAsia="Open Sans" w:hAnsi="Open Sans"/>
          <w:b/>
          <w:bCs/>
          <w:i w:val="false"/>
          <w:iCs w:val="false"/>
          <w:color w:val="595959"/>
          <w:sz w:val="21"/>
          <w:szCs w:val="21"/>
        </w:rPr>
        <w:t xml:space="preserve">Indicative Reading</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Goodrich, M. T. and Tamassia, R., Data Structures and Algorithms in Java (Wiley) - primary text.</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Sedgewick, R. and Wayne, K., Algorithms (Addison-Wesley) - selected chapters for U5 and U6.</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School-produced implementation specifications and the complexity-argument template, confirmed at teaching-plan stage.</w:t>
      </w:r>
    </w:p>
    <w:p>
      <w:pPr>
        <w:spacing w:after="150" w:line="274"/>
      </w:pPr>
      <w:r>
        <w:rPr>
          <w:rFonts w:ascii="Open Sans" w:cs="Open Sans" w:eastAsia="Open Sans" w:hAnsi="Open Sans"/>
          <w:b w:val="false"/>
          <w:bCs w:val="false"/>
          <w:i/>
          <w:iCs/>
          <w:color w:val="1A1A1A"/>
          <w:sz w:val="19"/>
          <w:szCs w:val="19"/>
        </w:rPr>
        <w:t xml:space="preserve">Reading lists are indicative and are confirmed by the module leaders; editions per current library holdings.</w:t>
      </w:r>
    </w:p>
    <w:p>
      <w:pPr>
        <w:pStyle w:val="Heading3"/>
        <w:spacing w:after="110" w:before="180"/>
      </w:pPr>
      <w:r>
        <w:rPr>
          <w:rFonts w:ascii="Open Sans" w:cs="Open Sans" w:eastAsia="Open Sans" w:hAnsi="Open Sans"/>
          <w:b/>
          <w:bCs/>
          <w:i w:val="false"/>
          <w:iCs w:val="false"/>
          <w:color w:val="595959"/>
          <w:sz w:val="21"/>
          <w:szCs w:val="21"/>
        </w:rPr>
        <w:t xml:space="preserve">Staffing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Role</w:t>
            </w:r>
          </w:p>
        </w:tc>
        <w:tc>
          <w:tcPr>
            <w:tcW w:type="dxa" w:w="32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Name</w:t>
            </w:r>
          </w:p>
        </w:tc>
        <w:tc>
          <w:tcPr>
            <w:tcW w:type="dxa" w:w="32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Domain credential</w:t>
            </w:r>
          </w:p>
        </w:tc>
      </w:tr>
      <w:tr>
        <w:tc>
          <w:tcPr>
            <w:tcW w:type="dxa" w:w="2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 1</w:t>
            </w:r>
          </w:p>
        </w:tc>
        <w:tc>
          <w:tcPr>
            <w:tcW w:type="dxa" w:w="32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 2</w:t>
            </w:r>
          </w:p>
        </w:tc>
        <w:tc>
          <w:tcPr>
            <w:tcW w:type="dxa" w:w="32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External module auditor</w:t>
            </w:r>
          </w:p>
        </w:tc>
        <w:tc>
          <w:tcPr>
            <w:tcW w:type="dxa" w:w="32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bl>
    <w:p>
      <w:pPr>
        <w:spacing w:after="150" w:line="274"/>
      </w:pPr>
      <w:r>
        <w:rPr>
          <w:rFonts w:ascii="Open Sans" w:cs="Open Sans" w:eastAsia="Open Sans" w:hAnsi="Open Sans"/>
          <w:b/>
          <w:bCs/>
          <w:i w:val="false"/>
          <w:iCs w:val="false"/>
          <w:color w:val="1A1A1A"/>
          <w:sz w:val="20"/>
          <w:szCs w:val="20"/>
        </w:rPr>
        <w:t xml:space="preserve">Domain-expertise statement: </w:t>
      </w:r>
      <w:r>
        <w:rPr>
          <w:rFonts w:ascii="Open Sans" w:cs="Open Sans" w:eastAsia="Open Sans" w:hAnsi="Open Sans"/>
          <w:b w:val="false"/>
          <w:bCs w:val="false"/>
          <w:i w:val="false"/>
          <w:iCs w:val="false"/>
          <w:color w:val="1A1A1A"/>
          <w:sz w:val="20"/>
          <w:szCs w:val="20"/>
        </w:rPr>
        <w:t xml:space="preserve">Taught from algorithms and software-implementation expertise; generic delivery is non-compliant.</w:t>
      </w:r>
    </w:p>
    <w:p>
      <w:pPr>
        <w:pStyle w:val="Heading3"/>
        <w:spacing w:after="110" w:before="180"/>
      </w:pPr>
      <w:r>
        <w:rPr>
          <w:rFonts w:ascii="Open Sans" w:cs="Open Sans" w:eastAsia="Open Sans" w:hAnsi="Open Sans"/>
          <w:b/>
          <w:bCs/>
          <w:i w:val="false"/>
          <w:iCs w:val="false"/>
          <w:color w:val="595959"/>
          <w:sz w:val="21"/>
          <w:szCs w:val="21"/>
        </w:rPr>
        <w:t xml:space="preserve">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600"/>
        <w:gridCol w:w="1826"/>
      </w:tblGrid>
      <w:tr>
        <w:trPr>
          <w:tblHeader/>
        </w:trPr>
        <w:tc>
          <w:tcPr>
            <w:tcW w:type="dxa" w:w="2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Stage</w:t>
            </w:r>
          </w:p>
        </w:tc>
        <w:tc>
          <w:tcPr>
            <w:tcW w:type="dxa" w:w="2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Name / Body</w:t>
            </w:r>
          </w:p>
        </w:tc>
        <w:tc>
          <w:tcPr>
            <w:tcW w:type="dxa" w:w="1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Date</w:t>
            </w:r>
          </w:p>
        </w:tc>
        <w:tc>
          <w:tcPr>
            <w:tcW w:type="dxa" w:w="18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Signature</w:t>
            </w:r>
          </w:p>
        </w:tc>
      </w:tr>
      <w:tr>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leaders</w:t>
            </w:r>
          </w:p>
        </w:tc>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External module auditor</w:t>
            </w:r>
          </w:p>
        </w:tc>
        <w:tc>
          <w:tcPr>
            <w:tcW w:type="dxa" w:w="2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Curriculum Committee</w:t>
            </w:r>
          </w:p>
        </w:tc>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2026-07-20T09:22:51.513Z</dcterms:created>
  <dcterms:modified xsi:type="dcterms:W3CDTF">2026-07-20T09:22:51.514Z</dcterms:modified>
</cp:coreProperties>
</file>

<file path=docProps/custom.xml><?xml version="1.0" encoding="utf-8"?>
<Properties xmlns="http://schemas.openxmlformats.org/officeDocument/2006/custom-properties" xmlns:vt="http://schemas.openxmlformats.org/officeDocument/2006/docPropsVTypes"/>
</file>