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Entrepreneurship, Creativity and Innovation (CREST)</w:t>
      </w:r>
    </w:p>
    <w:p>
      <w:pPr>
        <w:spacing w:after="350" w:line="274"/>
      </w:pPr>
      <w:r>
        <w:rPr>
          <w:rFonts w:ascii="Open Sans" w:cs="Open Sans" w:eastAsia="Open Sans" w:hAnsi="Open Sans"/>
          <w:b w:val="false"/>
          <w:bCs w:val="false"/>
          <w:i w:val="false"/>
          <w:iCs w:val="false"/>
          <w:color w:val="595959"/>
          <w:sz w:val="22"/>
          <w:szCs w:val="22"/>
        </w:rPr>
        <w:t xml:space="preserve">NB-SOCE-L4-CM-IS-01  ·  Institution-Wide Common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Entrepreneurship, Creativity and Innovation (CREST)</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NB-SOCE-L4-CM-IS-01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Entrepreneurship, Creativity and Innovation (CREST)</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 Mandatory non-credit component; assessed pass/fail; engagement hours per the School hours model, not counted toward award notional totals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Condition of the award: completion required for Year 2 completion and the HND exit award; pass/fail competency evidence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24 workshop hours = 8 three-hour blocks, plus facilitated activities, coaching and independent work</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Delivered per the B-3 pattern; hours do NOT count toward award notional totals</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form the entrepreneurial and innovation capability the programme has always carried: recognising opportunities, shaping value propositions and business models, validating ideas, pitching ventures, and practising responsible innovation. The module is delivered in full as a mandatory component and assessed pass/fail without credit weighting: a deliberate compliance decision that preserves the formation while keeping the credit-bearing load defensible.</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opportunity recognition and creative ideation; value propositions and business-model fundamentals; validation and innovation practice; venture pitching; intellectual-property and responsible-innovation awareness.</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the leadership and entrepreneurial practice content of the degree years (NB6002CEM, where carried); pathway business modules (ITB owners named in the ITB records).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3"/>
        <w:spacing w:after="110" w:before="180"/>
      </w:pPr>
      <w:r>
        <w:rPr>
          <w:rFonts w:ascii="Open Sans" w:cs="Open Sans" w:eastAsia="Open Sans" w:hAnsi="Open Sans"/>
          <w:b/>
          <w:bCs/>
          <w:i w:val="false"/>
          <w:iCs w:val="false"/>
          <w:color w:val="595959"/>
          <w:sz w:val="21"/>
          <w:szCs w:val="21"/>
        </w:rPr>
        <w:t xml:space="preserve">Standing of the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CREST is retained in full as a mandatory Year 2 component and a condition of the award: completion, by a pass in both assessed components, is required for Year 2 completion and for the Higher National Diploma exit award. It carries no credit weighting, and its engagement hours follow the full delivery pattern while sitting outside the award's notional-hour totals. This is a deliberate compliance decision: it preserves the entrepreneurship formation in full while keeping the credit-bearing load within a defensible envelope.</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Identify and frame an opportunity for a product, service or venture.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Develop a value proposition and an outline business model for a framed opportunity.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Pitch a venture concept persuasively to a mixed audience.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Reflect on innovation practice, including intellectual-property and responsible-innovation considerations.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introductory Evaluate</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Creativity and opportunity recognition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idea to value proposition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Business-model fundamentals I</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Business-model fundamentals II</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Innovation in practice: prototyping and validation I</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Innovation in practice: prototyping and validation II</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W7</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Pitching and communicating ventures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W8</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Intellectual property and responsible innovation awareness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24</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eight three-hour blocks. Facilitated activities (30 hours) develop the team venture concept; coaching (12 hours) is per-team mentoring; independent work (84 hours) completes the concept pack and individual reflection. Engagement hours follow the B-3 pattern in full; by the School's decision they are not counted toward award notional totals.</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84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Both components are assessed pass/fail and both must be passed; there is no percentage weighting.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(team)</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Venture concept pack: framed opportunity, value proposition, outline business model and validation evidence, closed by a team pitch; individually maintained contribution log per student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Group (n = 4 indicative); take-home with facilitated sessions; pass/fail; Viva/Presentation: Presentation</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Pass/Fail</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(individual)</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reflective statement on innovation practice, contribution and responsible-innovation considerations</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pass/fail;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Pass/Fail</w:t>
            </w:r>
          </w:p>
        </w:tc>
      </w:tr>
    </w:tbl>
    <w:p>
      <w:pPr>
        <w:spacing w:after="150" w:line="274"/>
      </w:pPr>
      <w:r>
        <w:rPr>
          <w:rFonts w:ascii="Open Sans" w:cs="Open Sans" w:eastAsia="Open Sans" w:hAnsi="Open Sans"/>
          <w:b w:val="false"/>
          <w:bCs w:val="false"/>
          <w:i w:val="false"/>
          <w:iCs w:val="false"/>
          <w:color w:val="1A1A1A"/>
          <w:sz w:val="20"/>
          <w:szCs w:val="20"/>
        </w:rPr>
        <w:t xml:space="preserve">Both components must be passed; there is no percentage weighting. Reassessment is by resubmission of the failed component with an equivalent task.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Osterwalder, A. and Pigneur, Y., Business Model Generation (Wiley) - the business-model canvas foundation.</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Ries, E., The Lean Startup (Portfolio Penguin) - validation and iteration, selected use.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venture-concept pack template and pitch rubric,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entrepreneurship and innovation-practice expertise, with practitioner input encouraged;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2026-07-20T09:45:24.196Z</dcterms:created>
  <dcterms:modified xsi:type="dcterms:W3CDTF">2026-07-20T09:45:24.196Z</dcterms:modified>
</cp:coreProperties>
</file>

<file path=docProps/custom.xml><?xml version="1.0" encoding="utf-8"?>
<Properties xmlns="http://schemas.openxmlformats.org/officeDocument/2006/custom-properties" xmlns:vt="http://schemas.openxmlformats.org/officeDocument/2006/docPropsVTypes"/>
</file>