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Effective Communication Skills II</w:t>
      </w:r>
    </w:p>
    <w:p>
      <w:pPr>
        <w:spacing w:after="350" w:line="274"/>
      </w:pPr>
      <w:r>
        <w:rPr>
          <w:rFonts w:ascii="Open Sans" w:cs="Open Sans" w:eastAsia="Open Sans" w:hAnsi="Open Sans"/>
          <w:b w:val="false"/>
          <w:bCs w:val="false"/>
          <w:i w:val="false"/>
          <w:iCs w:val="false"/>
          <w:color w:val="595959"/>
          <w:sz w:val="22"/>
          <w:szCs w:val="22"/>
        </w:rPr>
        <w:t xml:space="preserve">NB-SOCE-L4-CM-IS-02  ·  Institution-Wide Common  ·  Integrative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v1.0</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 (skills module)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Effective Communication Skills II</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NB-SOCE-L4-CM-IS-02</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Effective Communication Skills II</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  Integrative Skills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4 (Year 2)  ·  2 credits  ·  100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Exit-award relevance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HND exit: workplace-communication competency evidence; direct preparation for Industrial Training</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Effective Communication Skills I</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Workshop-based skills delivery: 15 workshop hours = 5 three-hour blocks, plus facilitated activities, coaching and independent work</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Skills 2-credit (B-2), the School hours model</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take communication from academic competence to workplace performance: technical reporting and documentation, persuasive proposals, interview and professional-dialogue performance, and a managed professional presence. The module is timed to precede the Industrial Training placement and is the named on-ramp to Effective Communication Skills 3 (NB5006CEM) at Level 5.</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workplace and organisational communication; technical reporting and documentation; persuasive proposals and pitches; interview and professional-dialogue performance; professional presence.</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foundational communication (Effective Communication Skills I); Level 5 communication provision (NB5006CEM).</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Produce workplace-standard technical reports and documentation.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Construct and defend a persuasive proposal for a professional audience.</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Analyse</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Perform effectively in interview and professional-dialogue settings.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Manage a professional presence and communicate within organisational structures.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bl>
    <w:p>
      <w:pPr>
        <w:pStyle w:val="Heading2"/>
        <w:spacing w:after="130" w:before="240"/>
      </w:pPr>
      <w:r>
        <w:rPr>
          <w:rFonts w:ascii="Open Sans" w:cs="Open Sans" w:eastAsia="Open Sans" w:hAnsi="Open Sans"/>
          <w:b/>
          <w:bCs/>
          <w:i w:val="false"/>
          <w:iCs w:val="false"/>
          <w:color w:val="3F3F3F"/>
          <w:sz w:val="24"/>
          <w:szCs w:val="24"/>
        </w:rPr>
        <w:t xml:space="preserve">4. Skills Programme and Delivery</w:t>
      </w:r>
    </w:p>
    <w:p>
      <w:pPr>
        <w:pStyle w:val="Heading3"/>
        <w:spacing w:after="110" w:before="180"/>
      </w:pPr>
      <w:r>
        <w:rPr>
          <w:rFonts w:ascii="Open Sans" w:cs="Open Sans" w:eastAsia="Open Sans" w:hAnsi="Open Sans"/>
          <w:b/>
          <w:bCs/>
          <w:i w:val="false"/>
          <w:iCs w:val="false"/>
          <w:color w:val="595959"/>
          <w:sz w:val="21"/>
          <w:szCs w:val="21"/>
        </w:rPr>
        <w:t xml:space="preserve">Workshop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Theme</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Workplace communication: organisational structures, meetings and written channels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Technical reporting and documentation</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Persuasive communication: proposals and pitches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Interview and career communication</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Professional presence: identity, networking and conduct</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workshop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w:t>
            </w:r>
          </w:p>
        </w:tc>
      </w:tr>
    </w:tbl>
    <w:p>
      <w:pPr>
        <w:spacing w:after="150" w:line="274"/>
      </w:pPr>
      <w:r>
        <w:rPr>
          <w:rFonts w:ascii="Open Sans" w:cs="Open Sans" w:eastAsia="Open Sans" w:hAnsi="Open Sans"/>
          <w:b w:val="false"/>
          <w:bCs w:val="false"/>
          <w:i w:val="false"/>
          <w:iCs w:val="false"/>
          <w:color w:val="1A1A1A"/>
          <w:sz w:val="20"/>
          <w:szCs w:val="20"/>
        </w:rPr>
        <w:t xml:space="preserve">Workshops run as five three-hour blocks. Facilitated activities (21 hours) include report and proposal studios and mock-interview practice; coaching (9 hours) gives individual feedback ahead of the assessed dialogue; independent work (55 hours) completes the portfolio. Scheduling places the module before the Industrial Training placement block.</w:t>
      </w:r>
    </w:p>
    <w:p>
      <w:pPr>
        <w:pStyle w:val="Heading3"/>
        <w:spacing w:after="110" w:before="180"/>
      </w:pPr>
      <w:r>
        <w:rPr>
          <w:rFonts w:ascii="Open Sans" w:cs="Open Sans" w:eastAsia="Open Sans" w:hAnsi="Open Sans"/>
          <w:b/>
          <w:bCs/>
          <w:i w:val="false"/>
          <w:iCs w:val="false"/>
          <w:color w:val="595959"/>
          <w:sz w:val="21"/>
          <w:szCs w:val="21"/>
        </w:rPr>
        <w:t xml:space="preserve">Engagement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workshops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Facilitated activities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21</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Coaching / feedback sessions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Independent work</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55</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100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No examination is carried: this is a skills module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100"/>
        <w:gridCol w:w="1300"/>
        <w:gridCol w:w="1000"/>
      </w:tblGrid>
      <w:tr>
        <w:trPr>
          <w:tblHeader/>
        </w:trPr>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Professional communication portfolio: a workplace-standard technical report on the student's own pathway work, and a persuasive proposal</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60%</w:t>
            </w:r>
          </w:p>
        </w:tc>
      </w:tr>
      <w:tr>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(in-class)</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Assessed professional dialogue: interview simulation with proposal defence and question handling</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in-class; graded; Viva/Presentation: Viva-defence</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 LO3, LO4</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Markel, M. and Selber, S. A., Technical Communication (Bedford/St. Martin's) - selected chapters on reporting and documentation.</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Duarte, N., Resonate (Wiley) - persuasive structure, selected use.</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report and proposal templates and the professional-dialogue rubric,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Delivered from professional-communication and employability expertise with industry currency;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2026-07-20T09:45:24.266Z</dcterms:created>
  <dcterms:modified xsi:type="dcterms:W3CDTF">2026-07-20T09:45:24.266Z</dcterms:modified>
</cp:coreProperties>
</file>

<file path=docProps/custom.xml><?xml version="1.0" encoding="utf-8"?>
<Properties xmlns="http://schemas.openxmlformats.org/officeDocument/2006/custom-properties" xmlns:vt="http://schemas.openxmlformats.org/officeDocument/2006/docPropsVTypes"/>
</file>