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line="274"/>
      </w:pPr>
      <w:r>
        <w:rPr>
          <w:rFonts w:ascii="Open Sans" w:cs="Open Sans" w:eastAsia="Open Sans" w:hAnsi="Open Sans"/>
          <w:b w:val="false"/>
          <w:bCs w:val="false"/>
          <w:i w:val="false"/>
          <w:iCs w:val="false"/>
          <w:color w:val="1A1A1A"/>
          <w:sz w:val="21"/>
          <w:szCs w:val="21"/>
        </w:rPr>
        <w:t xml:space="preserve"/>
      </w:r>
    </w:p>
    <w:p>
      <w:pPr>
        <w:spacing w:after="50" w:line="274"/>
      </w:pPr>
      <w:r>
        <w:rPr>
          <w:rFonts w:ascii="Open Sans" w:cs="Open Sans" w:eastAsia="Open Sans" w:hAnsi="Open Sans"/>
          <w:b/>
          <w:bCs/>
          <w:i w:val="false"/>
          <w:iCs w:val="false"/>
          <w:color w:val="1A1A1A"/>
          <w:sz w:val="27"/>
          <w:szCs w:val="27"/>
        </w:rPr>
        <w:t xml:space="preserve">National Institute of Business Management</w:t>
      </w:r>
    </w:p>
    <w:p>
      <w:pPr>
        <w:spacing w:after="350" w:line="274"/>
      </w:pPr>
      <w:r>
        <w:rPr>
          <w:rFonts w:ascii="Open Sans" w:cs="Open Sans" w:eastAsia="Open Sans" w:hAnsi="Open Sans"/>
          <w:b w:val="false"/>
          <w:bCs w:val="false"/>
          <w:i w:val="false"/>
          <w:iCs w:val="false"/>
          <w:color w:val="595959"/>
          <w:sz w:val="23"/>
          <w:szCs w:val="23"/>
        </w:rPr>
        <w:t xml:space="preserve">School of Computing and Engineering</w:t>
      </w:r>
    </w:p>
    <w:p>
      <w:pPr>
        <w:pBdr>
          <w:bottom w:val="single" w:color="595959" w:sz="16"/>
        </w:pBdr>
        <w:spacing w:after="280"/>
      </w:pPr>
      <w:r>
        <w:rPr>
          <w:rFonts w:ascii="Open Sans" w:cs="Open Sans" w:eastAsia="Open Sans" w:hAnsi="Open Sans"/>
          <w:b w:val="false"/>
          <w:bCs w:val="false"/>
          <w:i w:val="false"/>
          <w:iCs w:val="false"/>
          <w:color w:val="1A1A1A"/>
          <w:sz w:val="21"/>
          <w:szCs w:val="21"/>
        </w:rPr>
        <w:t xml:space="preserve"/>
      </w:r>
    </w:p>
    <w:p>
      <w:pPr>
        <w:spacing w:after="100" w:line="274"/>
      </w:pPr>
      <w:r>
        <w:rPr>
          <w:rFonts w:ascii="Open Sans" w:cs="Open Sans" w:eastAsia="Open Sans" w:hAnsi="Open Sans"/>
          <w:b/>
          <w:bCs/>
          <w:i w:val="false"/>
          <w:iCs w:val="false"/>
          <w:color w:val="1A1A1A"/>
          <w:sz w:val="31"/>
          <w:szCs w:val="31"/>
        </w:rPr>
        <w:t xml:space="preserve">Module Descriptor - Ethics and Responsibility in Computing Practice</w:t>
      </w:r>
    </w:p>
    <w:p>
      <w:pPr>
        <w:spacing w:after="350" w:line="274"/>
      </w:pPr>
      <w:r>
        <w:rPr>
          <w:rFonts w:ascii="Open Sans" w:cs="Open Sans" w:eastAsia="Open Sans" w:hAnsi="Open Sans"/>
          <w:b w:val="false"/>
          <w:bCs w:val="false"/>
          <w:i w:val="false"/>
          <w:iCs w:val="false"/>
          <w:color w:val="595959"/>
          <w:sz w:val="22"/>
          <w:szCs w:val="22"/>
        </w:rPr>
        <w:t xml:space="preserve">NB-SOCE-L4-CM-IS-04  ·  Institution-Wide Common (Exit Block)  ·  Integrative Skills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Field</w:t>
            </w:r>
          </w:p>
        </w:tc>
        <w:tc>
          <w:tcPr>
            <w:tcW w:type="dxa" w:w="65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Value</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Document status</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Draft for Review - v1.0</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Purpose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Specification-stage descriptor for an exit-award skills module</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Prepared by</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SOCE Curriculum Committee</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Date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July 2026</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Authoritative sources</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School curriculum decision records; the Sri Lanka Qualifications Framework (University Grants Commission, 2015)</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Applies to</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All four SOCE pathways (Higher National Diploma exit)</w:t>
            </w:r>
          </w:p>
        </w:tc>
      </w:tr>
    </w:tbl>
    <w:p>
      <w:r>
        <w:br w:type="page"/>
      </w:r>
    </w:p>
    <w:p>
      <w:pPr>
        <w:pStyle w:val="Heading1"/>
        <w:spacing w:after="150" w:before="320"/>
      </w:pPr>
      <w:r>
        <w:rPr>
          <w:rFonts w:ascii="Open Sans" w:cs="Open Sans" w:eastAsia="Open Sans" w:hAnsi="Open Sans"/>
          <w:b/>
          <w:bCs/>
          <w:i w:val="false"/>
          <w:iCs w:val="false"/>
          <w:color w:val="1A1A1A"/>
          <w:sz w:val="29"/>
          <w:szCs w:val="29"/>
        </w:rPr>
        <w:t xml:space="preserve">Module Descriptor: Ethics and Responsibility in Computing Practice</w:t>
      </w:r>
    </w:p>
    <w:p>
      <w:pPr>
        <w:pStyle w:val="Heading2"/>
        <w:spacing w:after="130" w:before="240"/>
      </w:pPr>
      <w:r>
        <w:rPr>
          <w:rFonts w:ascii="Open Sans" w:cs="Open Sans" w:eastAsia="Open Sans" w:hAnsi="Open Sans"/>
          <w:b/>
          <w:bCs/>
          <w:i w:val="false"/>
          <w:iCs w:val="false"/>
          <w:color w:val="3F3F3F"/>
          <w:sz w:val="24"/>
          <w:szCs w:val="24"/>
        </w:rPr>
        <w:t xml:space="preserve">1. Module Identity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Field</w:t>
            </w:r>
          </w:p>
        </w:tc>
        <w:tc>
          <w:tcPr>
            <w:tcW w:type="dxa" w:w="65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Value</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code</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NB-SOCE-L4-CM-IS-04</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title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Ethics and Responsibility in Computing Practice</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Scope / type</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Institution-wide common (exit block)  ·  Integrative Skills</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SLQF level / credits</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Level 4 (Year 2 exit block)  ·  2 credits  ·  100 notional hours (1 credit = 50 hours)</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Carried by</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All four SOCE pathways; pathway-flavoured case material is a delivery matter, not a specification split</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Exit-award relevance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Core competency-evidence module of the Higher National Diploma exit; NVQ Level 6 target orientation</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Taken by</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Students who have declared exit at Higher National Diploma level</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Prerequisites</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None as a hard prerequisite; draws on the computing-ethics awareness of Fundamentals of Computing and the Industrial Training placement</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Delivery mode</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Workshop-based skills delivery: 15 workshop hours as 5 three-hour blocks, plus facilitated activities, coaching and independent work</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Hours profile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Skills 2-credit (B-2)</w:t>
            </w:r>
          </w:p>
        </w:tc>
      </w:tr>
    </w:tbl>
    <w:p>
      <w:pPr>
        <w:pStyle w:val="Heading2"/>
        <w:spacing w:after="130" w:before="240"/>
      </w:pPr>
      <w:r>
        <w:rPr>
          <w:rFonts w:ascii="Open Sans" w:cs="Open Sans" w:eastAsia="Open Sans" w:hAnsi="Open Sans"/>
          <w:b/>
          <w:bCs/>
          <w:i w:val="false"/>
          <w:iCs w:val="false"/>
          <w:color w:val="3F3F3F"/>
          <w:sz w:val="24"/>
          <w:szCs w:val="24"/>
        </w:rPr>
        <w:t xml:space="preserve">2. Module Purpose and Aims</w:t>
      </w:r>
    </w:p>
    <w:p>
      <w:pPr>
        <w:spacing w:after="150" w:line="274"/>
      </w:pPr>
      <w:r>
        <w:rPr>
          <w:rFonts w:ascii="Open Sans" w:cs="Open Sans" w:eastAsia="Open Sans" w:hAnsi="Open Sans"/>
          <w:b w:val="false"/>
          <w:bCs w:val="false"/>
          <w:i w:val="false"/>
          <w:iCs w:val="false"/>
          <w:color w:val="1A1A1A"/>
          <w:sz w:val="21"/>
          <w:szCs w:val="21"/>
        </w:rPr>
        <w:t xml:space="preserve">To ensure a student exiting at Higher National Diploma level leaves with a working command of professional ethics and responsibility in computing practice. The module exists precisely because exiting students never reach the degree-level treatment of this territory: it develops ethical case analysis, the practitioner's responsibilities under data-protection and privacy obligations in the Sri Lankan and international context, and reflection grounded in placement experience. It is a core competency-evidence module of the HND exit oriented to the NVQ Level 6 target.</w:t>
      </w:r>
    </w:p>
    <w:p>
      <w:pPr>
        <w:pStyle w:val="Heading3"/>
        <w:spacing w:after="110" w:before="180"/>
      </w:pPr>
      <w:r>
        <w:rPr>
          <w:rFonts w:ascii="Open Sans" w:cs="Open Sans" w:eastAsia="Open Sans" w:hAnsi="Open Sans"/>
          <w:b/>
          <w:bCs/>
          <w:i w:val="false"/>
          <w:iCs w:val="false"/>
          <w:color w:val="595959"/>
          <w:sz w:val="21"/>
          <w:szCs w:val="21"/>
        </w:rPr>
        <w:t xml:space="preserve">Specification Boundary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595959" w:sz="22"/>
              <w:bottom w:val="single" w:color="CCCCCC" w:sz="2"/>
              <w:right w:val="single" w:color="CCCCCC" w:sz="2"/>
            </w:tcBorders>
            <w:shd w:fill="F7F7F7" w:val="clear"/>
            <w:tcMar>
              <w:top w:type="dxa" w:w="110"/>
              <w:left w:type="dxa" w:w="150"/>
              <w:bottom w:type="dxa" w:w="110"/>
              <w:right w:type="dxa" w:w="150"/>
            </w:tcMar>
          </w:tcPr>
          <w:p>
            <w:pPr>
              <w:spacing w:after="70"/>
            </w:pPr>
            <w:r>
              <w:rPr>
                <w:rFonts w:ascii="Open Sans" w:cs="Open Sans" w:eastAsia="Open Sans" w:hAnsi="Open Sans"/>
                <w:b/>
                <w:bCs/>
                <w:i w:val="false"/>
                <w:iCs w:val="false"/>
                <w:color w:val="1A1A1A"/>
                <w:sz w:val="20"/>
                <w:szCs w:val="20"/>
              </w:rPr>
              <w:t xml:space="preserve">Covers: </w:t>
            </w:r>
            <w:r>
              <w:rPr>
                <w:rFonts w:ascii="Open Sans" w:cs="Open Sans" w:eastAsia="Open Sans" w:hAnsi="Open Sans"/>
                <w:b w:val="false"/>
                <w:bCs w:val="false"/>
                <w:i w:val="false"/>
                <w:iCs w:val="false"/>
                <w:color w:val="1A1A1A"/>
                <w:sz w:val="20"/>
                <w:szCs w:val="20"/>
              </w:rPr>
              <w:t xml:space="preserve">professional ethics in computing practice; responsibility, accountability and duty of care; data protection and privacy obligations in the Sri Lankan and international context; ethical case analysis grounded in placement experience.</w:t>
            </w:r>
          </w:p>
          <w:p>
            <w:pPr>
              <w:spacing w:after="70"/>
            </w:pPr>
            <w:r>
              <w:rPr>
                <w:rFonts w:ascii="Open Sans" w:cs="Open Sans" w:eastAsia="Open Sans" w:hAnsi="Open Sans"/>
                <w:b/>
                <w:bCs/>
                <w:i w:val="false"/>
                <w:iCs w:val="false"/>
                <w:color w:val="1A1A1A"/>
                <w:sz w:val="20"/>
                <w:szCs w:val="20"/>
              </w:rPr>
              <w:t xml:space="preserve">Does NOT cover: </w:t>
            </w:r>
            <w:r>
              <w:rPr>
                <w:rFonts w:ascii="Open Sans" w:cs="Open Sans" w:eastAsia="Open Sans" w:hAnsi="Open Sans"/>
                <w:b w:val="false"/>
                <w:bCs w:val="false"/>
                <w:i w:val="false"/>
                <w:iCs w:val="false"/>
                <w:color w:val="1A1A1A"/>
                <w:sz w:val="20"/>
                <w:szCs w:val="20"/>
              </w:rPr>
              <w:t xml:space="preserve">degree-level social, legal and ethical breadth (the Level 5 provision for continuing students); security-governance depth (pathway modules where carried).</w:t>
            </w:r>
          </w:p>
          <w:p>
            <w:pPr>
              <w:spacing w:after="70"/>
            </w:pPr>
            <w:r>
              <w:rPr>
                <w:rFonts w:ascii="Open Sans" w:cs="Open Sans" w:eastAsia="Open Sans" w:hAnsi="Open Sans"/>
                <w:b w:val="false"/>
                <w:bCs w:val="false"/>
                <w:i/>
                <w:iCs/>
                <w:color w:val="1A1A1A"/>
                <w:sz w:val="19"/>
                <w:szCs w:val="19"/>
              </w:rPr>
              <w:t xml:space="preserve">The boundary text is identical wherever the module is carried and changes only through the School's formal change-control process.</w:t>
            </w:r>
          </w:p>
        </w:tc>
      </w:tr>
    </w:tbl>
    <w:p>
      <w:pPr>
        <w:pStyle w:val="Heading2"/>
        <w:spacing w:after="130" w:before="240"/>
      </w:pPr>
      <w:r>
        <w:rPr>
          <w:rFonts w:ascii="Open Sans" w:cs="Open Sans" w:eastAsia="Open Sans" w:hAnsi="Open Sans"/>
          <w:b/>
          <w:bCs/>
          <w:i w:val="false"/>
          <w:iCs w:val="false"/>
          <w:color w:val="3F3F3F"/>
          <w:sz w:val="24"/>
          <w:szCs w:val="24"/>
        </w:rPr>
        <w:t xml:space="preserve">3. Learning Outcomes</w:t>
      </w:r>
    </w:p>
    <w:p>
      <w:pPr>
        <w:spacing w:after="150" w:line="274"/>
      </w:pPr>
      <w:r>
        <w:rPr>
          <w:rFonts w:ascii="Open Sans" w:cs="Open Sans" w:eastAsia="Open Sans" w:hAnsi="Open Sans"/>
          <w:b w:val="false"/>
          <w:bCs w:val="false"/>
          <w:i w:val="false"/>
          <w:iCs w:val="false"/>
          <w:color w:val="1A1A1A"/>
          <w:sz w:val="21"/>
          <w:szCs w:val="21"/>
        </w:rPr>
        <w:t xml:space="preserve">On successful completion of this module, the student will be able 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726"/>
        <w:gridCol w:w="2500"/>
      </w:tblGrid>
      <w:tr>
        <w:trPr>
          <w:tblHeader/>
        </w:trPr>
        <w:tc>
          <w:tcPr>
            <w:tcW w:type="dxa" w:w="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Ref</w:t>
            </w:r>
          </w:p>
        </w:tc>
        <w:tc>
          <w:tcPr>
            <w:tcW w:type="dxa" w:w="57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Intended Learning Outcome</w:t>
            </w:r>
          </w:p>
        </w:tc>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Bloom level</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LO1</w:t>
            </w:r>
          </w:p>
        </w:tc>
        <w:tc>
          <w:tcPr>
            <w:tcW w:type="dxa" w:w="57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Analyse ethical cases arising in computing practice using recognised frameworks.</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Analyse</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LO2</w:t>
            </w:r>
          </w:p>
        </w:tc>
        <w:tc>
          <w:tcPr>
            <w:tcW w:type="dxa" w:w="57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Explain the practitioner's responsibilities under data-protection and privacy obligations.</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Understand / Apply</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LO3</w:t>
            </w:r>
          </w:p>
        </w:tc>
        <w:tc>
          <w:tcPr>
            <w:tcW w:type="dxa" w:w="57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Evaluate the ethical dimensions of decisions encountered in placement or practice.</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Evaluate</w:t>
            </w:r>
          </w:p>
        </w:tc>
      </w:tr>
    </w:tbl>
    <w:p>
      <w:pPr>
        <w:pStyle w:val="Heading3"/>
        <w:spacing w:after="110" w:before="180"/>
      </w:pPr>
      <w:r>
        <w:rPr>
          <w:rFonts w:ascii="Open Sans" w:cs="Open Sans" w:eastAsia="Open Sans" w:hAnsi="Open Sans"/>
          <w:b/>
          <w:bCs/>
          <w:i w:val="false"/>
          <w:iCs w:val="false"/>
          <w:color w:val="595959"/>
          <w:sz w:val="21"/>
          <w:szCs w:val="21"/>
        </w:rPr>
        <w:t xml:space="preserve">Exit-Award Orientation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EB5600" w:sz="22"/>
              <w:bottom w:val="single" w:color="CCCCCC" w:sz="2"/>
              <w:right w:val="single" w:color="CCCCCC" w:sz="2"/>
            </w:tcBorders>
            <w:shd w:fill="FFF8F5" w:val="clear"/>
            <w:tcMar>
              <w:top w:type="dxa" w:w="110"/>
              <w:left w:type="dxa" w:w="150"/>
              <w:bottom w:type="dxa" w:w="110"/>
              <w:right w:type="dxa" w:w="150"/>
            </w:tcMar>
          </w:tcPr>
          <w:p>
            <w:pPr>
              <w:spacing w:after="70"/>
            </w:pPr>
            <w:r>
              <w:rPr>
                <w:rFonts w:ascii="Open Sans" w:cs="Open Sans" w:eastAsia="Open Sans" w:hAnsi="Open Sans"/>
                <w:b w:val="false"/>
                <w:bCs w:val="false"/>
                <w:i w:val="false"/>
                <w:iCs w:val="false"/>
                <w:color w:val="1A1A1A"/>
                <w:sz w:val="20"/>
                <w:szCs w:val="20"/>
              </w:rPr>
              <w:t xml:space="preserve">This is a core competency-evidence module of the Higher National Diploma exit award, oriented to the NVQ Level 6 target. Independent-work hours are directed to </w:t>
            </w:r>
            <w:r>
              <w:rPr>
                <w:rFonts w:ascii="Open Sans" w:cs="Open Sans" w:eastAsia="Open Sans" w:hAnsi="Open Sans"/>
                <w:b w:val="false"/>
                <w:bCs w:val="false"/>
                <w:i w:val="false"/>
                <w:iCs w:val="false"/>
                <w:color w:val="1A1A1A"/>
                <w:sz w:val="20"/>
                <w:szCs w:val="20"/>
              </w:rPr>
              <w:t xml:space="preserve">an ethics case portfolio and reflective case responses grounded in placement experience, mapped to professional-responsibility competencies against the NVQ Level 6 target.</w:t>
            </w:r>
          </w:p>
          <w:p>
            <w:pPr>
              <w:spacing w:after="70"/>
            </w:pPr>
            <w:r>
              <w:rPr>
                <w:rFonts w:ascii="Open Sans" w:cs="Open Sans" w:eastAsia="Open Sans" w:hAnsi="Open Sans"/>
                <w:b/>
                <w:bCs/>
                <w:i w:val="false"/>
                <w:iCs w:val="false"/>
                <w:color w:val="1A1A1A"/>
                <w:sz w:val="20"/>
                <w:szCs w:val="20"/>
              </w:rPr>
              <w:t xml:space="preserve">TVEC accreditation is an active pursuit and is not yet granted; additional requirements may be introduced, and the competency-evidence mapping remains adaptable to confirmed requirements.</w:t>
            </w:r>
          </w:p>
        </w:tc>
      </w:tr>
    </w:tbl>
    <w:p>
      <w:pPr>
        <w:pStyle w:val="Heading2"/>
        <w:spacing w:after="130" w:before="240"/>
      </w:pPr>
      <w:r>
        <w:rPr>
          <w:rFonts w:ascii="Open Sans" w:cs="Open Sans" w:eastAsia="Open Sans" w:hAnsi="Open Sans"/>
          <w:b/>
          <w:bCs/>
          <w:i w:val="false"/>
          <w:iCs w:val="false"/>
          <w:color w:val="3F3F3F"/>
          <w:sz w:val="24"/>
          <w:szCs w:val="24"/>
        </w:rPr>
        <w:t xml:space="preserve">4. Skills Programme and Delivery</w:t>
      </w:r>
    </w:p>
    <w:p>
      <w:pPr>
        <w:pStyle w:val="Heading3"/>
        <w:spacing w:after="110" w:before="180"/>
      </w:pPr>
      <w:r>
        <w:rPr>
          <w:rFonts w:ascii="Open Sans" w:cs="Open Sans" w:eastAsia="Open Sans" w:hAnsi="Open Sans"/>
          <w:b/>
          <w:bCs/>
          <w:i w:val="false"/>
          <w:iCs w:val="false"/>
          <w:color w:val="595959"/>
          <w:sz w:val="21"/>
          <w:szCs w:val="21"/>
        </w:rPr>
        <w:t xml:space="preserve">Workshop Programme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226"/>
        <w:gridCol w:w="2000"/>
      </w:tblGrid>
      <w:tr>
        <w:trPr>
          <w:tblHeader/>
        </w:trPr>
        <w:tc>
          <w:tcPr>
            <w:tcW w:type="dxa" w:w="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Ref</w:t>
            </w:r>
          </w:p>
        </w:tc>
        <w:tc>
          <w:tcPr>
            <w:tcW w:type="dxa" w:w="62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Theme</w:t>
            </w:r>
          </w:p>
        </w:tc>
        <w:tc>
          <w:tcPr>
            <w:tcW w:type="dxa" w:w="20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Hours</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W1</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Professional ethics in computing: frameworks and practice</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W2</w:t>
            </w:r>
          </w:p>
        </w:tc>
        <w:tc>
          <w:tcPr>
            <w:tcW w:type="dxa" w:w="6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Responsibility, accountability and duty of care</w:t>
            </w:r>
          </w:p>
        </w:tc>
        <w:tc>
          <w:tcPr>
            <w:tcW w:type="dxa" w:w="2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W3</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Data protection and privacy: Sri Lankan and international obligations</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W4</w:t>
            </w:r>
          </w:p>
        </w:tc>
        <w:tc>
          <w:tcPr>
            <w:tcW w:type="dxa" w:w="6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Ethical case analysis grounded in placement</w:t>
            </w:r>
          </w:p>
        </w:tc>
        <w:tc>
          <w:tcPr>
            <w:tcW w:type="dxa" w:w="2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W5</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Structured ethical discussion and consolidation</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800"/>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
            </w:r>
          </w:p>
        </w:tc>
        <w:tc>
          <w:tcPr>
            <w:tcW w:type="dxa" w:w="6226"/>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Total workshop hours</w:t>
            </w:r>
          </w:p>
        </w:tc>
        <w:tc>
          <w:tcPr>
            <w:tcW w:type="dxa" w:w="2000"/>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15</w:t>
            </w:r>
          </w:p>
        </w:tc>
      </w:tr>
    </w:tbl>
    <w:p>
      <w:pPr>
        <w:spacing w:after="150" w:line="274"/>
      </w:pPr>
      <w:r>
        <w:rPr>
          <w:rFonts w:ascii="Open Sans" w:cs="Open Sans" w:eastAsia="Open Sans" w:hAnsi="Open Sans"/>
          <w:b w:val="false"/>
          <w:bCs w:val="false"/>
          <w:i w:val="false"/>
          <w:iCs w:val="false"/>
          <w:color w:val="1A1A1A"/>
          <w:sz w:val="20"/>
          <w:szCs w:val="20"/>
        </w:rPr>
        <w:t xml:space="preserve">Workshops run as five three-hour blocks. Facilitated activities build the evidence artefacts; coaching gives individual feedback on developing portfolio pieces; independent work completes the competency-evidence portfolio.</w:t>
      </w:r>
    </w:p>
    <w:p>
      <w:pPr>
        <w:pStyle w:val="Heading3"/>
        <w:spacing w:after="110" w:before="180"/>
      </w:pPr>
      <w:r>
        <w:rPr>
          <w:rFonts w:ascii="Open Sans" w:cs="Open Sans" w:eastAsia="Open Sans" w:hAnsi="Open Sans"/>
          <w:b/>
          <w:bCs/>
          <w:i w:val="false"/>
          <w:iCs w:val="false"/>
          <w:color w:val="595959"/>
          <w:sz w:val="21"/>
          <w:szCs w:val="21"/>
        </w:rPr>
        <w:t xml:space="preserve">Engagement Hours (SLQF)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26"/>
        <w:gridCol w:w="2500"/>
      </w:tblGrid>
      <w:tr>
        <w:trPr>
          <w:tblHeader/>
        </w:trPr>
        <w:tc>
          <w:tcPr>
            <w:tcW w:type="dxa" w:w="65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Component</w:t>
            </w:r>
          </w:p>
        </w:tc>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Hours</w:t>
            </w:r>
          </w:p>
        </w:tc>
      </w:tr>
      <w:tr>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Taught workshops</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15</w:t>
            </w:r>
          </w:p>
        </w:tc>
      </w:tr>
      <w:tr>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Facilitated activities</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21</w:t>
            </w:r>
          </w:p>
        </w:tc>
      </w:tr>
      <w:tr>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Coaching / feedback sessions</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9</w:t>
            </w:r>
          </w:p>
        </w:tc>
      </w:tr>
      <w:tr>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Independent work (competency-evidence artefacts)</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55</w:t>
            </w:r>
          </w:p>
        </w:tc>
      </w:tr>
      <w:tr>
        <w:tc>
          <w:tcPr>
            <w:tcW w:type="dxa" w:w="6526"/>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Total</w:t>
            </w:r>
          </w:p>
        </w:tc>
        <w:tc>
          <w:tcPr>
            <w:tcW w:type="dxa" w:w="2500"/>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100</w:t>
            </w:r>
          </w:p>
        </w:tc>
      </w:tr>
    </w:tbl>
    <w:p>
      <w:pPr>
        <w:pStyle w:val="Heading2"/>
        <w:spacing w:after="130" w:before="240"/>
      </w:pPr>
      <w:r>
        <w:rPr>
          <w:rFonts w:ascii="Open Sans" w:cs="Open Sans" w:eastAsia="Open Sans" w:hAnsi="Open Sans"/>
          <w:b/>
          <w:bCs/>
          <w:i w:val="false"/>
          <w:iCs w:val="false"/>
          <w:color w:val="3F3F3F"/>
          <w:sz w:val="24"/>
          <w:szCs w:val="24"/>
        </w:rPr>
        <w:t xml:space="preserve">5. Assessment</w:t>
      </w:r>
    </w:p>
    <w:p>
      <w:pPr>
        <w:spacing w:after="150" w:line="274"/>
      </w:pPr>
      <w:r>
        <w:rPr>
          <w:rFonts w:ascii="Open Sans" w:cs="Open Sans" w:eastAsia="Open Sans" w:hAnsi="Open Sans"/>
          <w:b w:val="false"/>
          <w:bCs w:val="false"/>
          <w:i w:val="false"/>
          <w:iCs w:val="false"/>
          <w:color w:val="1A1A1A"/>
          <w:sz w:val="21"/>
          <w:szCs w:val="21"/>
        </w:rPr>
        <w:t xml:space="preserve">Weightings are confirmed at specification sign-off. No examination is carried: this is a skills module by design. Assessment artefacts are structured as auditable competency evidence for the exit award.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100"/>
        <w:gridCol w:w="1300"/>
        <w:gridCol w:w="1000"/>
      </w:tblGrid>
      <w:tr>
        <w:trPr>
          <w:tblHeader/>
        </w:trPr>
        <w:tc>
          <w:tcPr>
            <w:tcW w:type="dxa" w:w="16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Component</w:t>
            </w:r>
          </w:p>
        </w:tc>
        <w:tc>
          <w:tcPr>
            <w:tcW w:type="dxa" w:w="32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Task</w:t>
            </w:r>
          </w:p>
        </w:tc>
        <w:tc>
          <w:tcPr>
            <w:tcW w:type="dxa" w:w="21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Conditions</w:t>
            </w:r>
          </w:p>
        </w:tc>
        <w:tc>
          <w:tcPr>
            <w:tcW w:type="dxa" w:w="13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Outcomes assessed</w:t>
            </w:r>
          </w:p>
        </w:tc>
        <w:tc>
          <w:tcPr>
            <w:tcW w:type="dxa" w:w="10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Weight</w:t>
            </w:r>
          </w:p>
        </w:tc>
      </w:tr>
      <w:tr>
        <w:tc>
          <w:tcPr>
            <w:tcW w:type="dxa" w:w="1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Coursework</w:t>
            </w:r>
          </w:p>
        </w:tc>
        <w:tc>
          <w:tcPr>
            <w:tcW w:type="dxa" w:w="32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Ethics case portfolio: analysed cases using recognised frameworks, including a data-protection and privacy responsibility analysis grounded in placement</w:t>
            </w:r>
          </w:p>
        </w:tc>
        <w:tc>
          <w:tcPr>
            <w:tcW w:type="dxa" w:w="21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Individual; take-home; graded; Viva/Presentation: None</w:t>
            </w:r>
          </w:p>
        </w:tc>
        <w:tc>
          <w:tcPr>
            <w:tcW w:type="dxa" w:w="13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LO1, LO2</w:t>
            </w:r>
          </w:p>
        </w:tc>
        <w:tc>
          <w:tcPr>
            <w:tcW w:type="dxa" w:w="1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60%</w:t>
            </w:r>
          </w:p>
        </w:tc>
      </w:tr>
      <w:tr>
        <w:tc>
          <w:tcPr>
            <w:tcW w:type="dxa" w:w="16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Coursework (in-class)</w:t>
            </w:r>
          </w:p>
        </w:tc>
        <w:tc>
          <w:tcPr>
            <w:tcW w:type="dxa" w:w="32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Structured ethical discussion: an assessed reasoned discussion of an ethical case, with an individual reflective position</w:t>
            </w:r>
          </w:p>
        </w:tc>
        <w:tc>
          <w:tcPr>
            <w:tcW w:type="dxa" w:w="21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Individual; in-class; graded; Viva/Presentation: Viva-defence</w:t>
            </w:r>
          </w:p>
        </w:tc>
        <w:tc>
          <w:tcPr>
            <w:tcW w:type="dxa" w:w="13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LO1, LO3</w:t>
            </w:r>
          </w:p>
        </w:tc>
        <w:tc>
          <w:tcPr>
            <w:tcW w:type="dxa" w:w="1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40%</w:t>
            </w:r>
          </w:p>
        </w:tc>
      </w:tr>
    </w:tbl>
    <w:p>
      <w:pPr>
        <w:spacing w:after="150" w:line="274"/>
      </w:pPr>
      <w:r>
        <w:rPr>
          <w:rFonts w:ascii="Open Sans" w:cs="Open Sans" w:eastAsia="Open Sans" w:hAnsi="Open Sans"/>
          <w:b w:val="false"/>
          <w:bCs w:val="false"/>
          <w:i w:val="false"/>
          <w:iCs w:val="false"/>
          <w:color w:val="1A1A1A"/>
          <w:sz w:val="20"/>
          <w:szCs w:val="20"/>
        </w:rPr>
        <w:t xml:space="preserve">Reassessment is by the failed component only, with an equivalent task, per School regulations. All assessment is conducted under the School's academic integrity policy, including its provisions on the use of generative AI.</w:t>
      </w:r>
    </w:p>
    <w:p>
      <w:pPr>
        <w:pStyle w:val="Heading2"/>
        <w:spacing w:after="130" w:before="240"/>
      </w:pPr>
      <w:r>
        <w:rPr>
          <w:rFonts w:ascii="Open Sans" w:cs="Open Sans" w:eastAsia="Open Sans" w:hAnsi="Open Sans"/>
          <w:b/>
          <w:bCs/>
          <w:i w:val="false"/>
          <w:iCs w:val="false"/>
          <w:color w:val="3F3F3F"/>
          <w:sz w:val="24"/>
          <w:szCs w:val="24"/>
        </w:rPr>
        <w:t xml:space="preserve">6. Resources, Staff and Governance</w:t>
      </w:r>
    </w:p>
    <w:p>
      <w:pPr>
        <w:pStyle w:val="Heading3"/>
        <w:spacing w:after="110" w:before="180"/>
      </w:pPr>
      <w:r>
        <w:rPr>
          <w:rFonts w:ascii="Open Sans" w:cs="Open Sans" w:eastAsia="Open Sans" w:hAnsi="Open Sans"/>
          <w:b/>
          <w:bCs/>
          <w:i w:val="false"/>
          <w:iCs w:val="false"/>
          <w:color w:val="595959"/>
          <w:sz w:val="21"/>
          <w:szCs w:val="21"/>
        </w:rPr>
        <w:t xml:space="preserve">Indicative Reading</w:t>
      </w:r>
    </w:p>
    <w:p>
      <w:pPr>
        <w:spacing w:after="60" w:line="274"/>
      </w:pPr>
      <w:r>
        <w:rPr>
          <w:rFonts w:ascii="Open Sans" w:cs="Open Sans" w:eastAsia="Open Sans" w:hAnsi="Open Sans"/>
          <w:b/>
          <w:bCs/>
          <w:i w:val="false"/>
          <w:iCs w:val="false"/>
          <w:color w:val="1A1A1A"/>
          <w:sz w:val="21"/>
          <w:szCs w:val="21"/>
        </w:rPr>
        <w:t xml:space="preserve">· </w:t>
      </w:r>
      <w:r>
        <w:rPr>
          <w:rFonts w:ascii="Open Sans" w:cs="Open Sans" w:eastAsia="Open Sans" w:hAnsi="Open Sans"/>
          <w:b w:val="false"/>
          <w:bCs w:val="false"/>
          <w:i w:val="false"/>
          <w:iCs w:val="false"/>
          <w:color w:val="1A1A1A"/>
          <w:sz w:val="20"/>
          <w:szCs w:val="20"/>
        </w:rPr>
        <w:t xml:space="preserve">School-produced ethics case pack, refreshed each cycle with current cases, confirmed at teaching-plan stage.</w:t>
      </w:r>
    </w:p>
    <w:p>
      <w:pPr>
        <w:spacing w:after="60" w:line="274"/>
      </w:pPr>
      <w:r>
        <w:rPr>
          <w:rFonts w:ascii="Open Sans" w:cs="Open Sans" w:eastAsia="Open Sans" w:hAnsi="Open Sans"/>
          <w:b/>
          <w:bCs/>
          <w:i w:val="false"/>
          <w:iCs w:val="false"/>
          <w:color w:val="1A1A1A"/>
          <w:sz w:val="21"/>
          <w:szCs w:val="21"/>
        </w:rPr>
        <w:t xml:space="preserve">· </w:t>
      </w:r>
      <w:r>
        <w:rPr>
          <w:rFonts w:ascii="Open Sans" w:cs="Open Sans" w:eastAsia="Open Sans" w:hAnsi="Open Sans"/>
          <w:b w:val="false"/>
          <w:bCs w:val="false"/>
          <w:i w:val="false"/>
          <w:iCs w:val="false"/>
          <w:color w:val="1A1A1A"/>
          <w:sz w:val="20"/>
          <w:szCs w:val="20"/>
        </w:rPr>
        <w:t xml:space="preserve">A recognised computing-ethics framework reference (for example a computing-society code of ethics) and current Sri Lankan data-protection guidance, selected use.</w:t>
      </w:r>
    </w:p>
    <w:p>
      <w:pPr>
        <w:spacing w:after="150" w:line="274"/>
      </w:pPr>
      <w:r>
        <w:rPr>
          <w:rFonts w:ascii="Open Sans" w:cs="Open Sans" w:eastAsia="Open Sans" w:hAnsi="Open Sans"/>
          <w:b w:val="false"/>
          <w:bCs w:val="false"/>
          <w:i/>
          <w:iCs/>
          <w:color w:val="1A1A1A"/>
          <w:sz w:val="19"/>
          <w:szCs w:val="19"/>
        </w:rPr>
        <w:t xml:space="preserve">Reading lists are indicative and are confirmed by the module leaders; editions per current holdings.</w:t>
      </w:r>
    </w:p>
    <w:p>
      <w:pPr>
        <w:pStyle w:val="Heading3"/>
        <w:spacing w:after="110" w:before="180"/>
      </w:pPr>
      <w:r>
        <w:rPr>
          <w:rFonts w:ascii="Open Sans" w:cs="Open Sans" w:eastAsia="Open Sans" w:hAnsi="Open Sans"/>
          <w:b/>
          <w:bCs/>
          <w:i w:val="false"/>
          <w:iCs w:val="false"/>
          <w:color w:val="595959"/>
          <w:sz w:val="21"/>
          <w:szCs w:val="21"/>
        </w:rPr>
        <w:t xml:space="preserve">Staffing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Role</w:t>
            </w:r>
          </w:p>
        </w:tc>
        <w:tc>
          <w:tcPr>
            <w:tcW w:type="dxa" w:w="32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Name</w:t>
            </w:r>
          </w:p>
        </w:tc>
        <w:tc>
          <w:tcPr>
            <w:tcW w:type="dxa" w:w="32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Domain credential</w:t>
            </w:r>
          </w:p>
        </w:tc>
      </w:tr>
      <w:tr>
        <w:tc>
          <w:tcPr>
            <w:tcW w:type="dxa" w:w="2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leader 1</w:t>
            </w:r>
          </w:p>
        </w:tc>
        <w:tc>
          <w:tcPr>
            <w:tcW w:type="dxa" w:w="32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3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6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leader 2</w:t>
            </w:r>
          </w:p>
        </w:tc>
        <w:tc>
          <w:tcPr>
            <w:tcW w:type="dxa" w:w="32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3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External module auditor</w:t>
            </w:r>
          </w:p>
        </w:tc>
        <w:tc>
          <w:tcPr>
            <w:tcW w:type="dxa" w:w="32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3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bl>
    <w:p>
      <w:pPr>
        <w:spacing w:after="150" w:line="274"/>
      </w:pPr>
      <w:r>
        <w:rPr>
          <w:rFonts w:ascii="Open Sans" w:cs="Open Sans" w:eastAsia="Open Sans" w:hAnsi="Open Sans"/>
          <w:b/>
          <w:bCs/>
          <w:i w:val="false"/>
          <w:iCs w:val="false"/>
          <w:color w:val="1A1A1A"/>
          <w:sz w:val="20"/>
          <w:szCs w:val="20"/>
        </w:rPr>
        <w:t xml:space="preserve">Domain-expertise statement: </w:t>
      </w:r>
      <w:r>
        <w:rPr>
          <w:rFonts w:ascii="Open Sans" w:cs="Open Sans" w:eastAsia="Open Sans" w:hAnsi="Open Sans"/>
          <w:b w:val="false"/>
          <w:bCs w:val="false"/>
          <w:i w:val="false"/>
          <w:iCs w:val="false"/>
          <w:color w:val="1A1A1A"/>
          <w:sz w:val="20"/>
          <w:szCs w:val="20"/>
        </w:rPr>
        <w:t xml:space="preserve">Delivered from computing-ethics and professional-practice expertise; generic delivery is non-compliant.</w:t>
      </w:r>
    </w:p>
    <w:p>
      <w:pPr>
        <w:pStyle w:val="Heading3"/>
        <w:spacing w:after="110" w:before="180"/>
      </w:pPr>
      <w:r>
        <w:rPr>
          <w:rFonts w:ascii="Open Sans" w:cs="Open Sans" w:eastAsia="Open Sans" w:hAnsi="Open Sans"/>
          <w:b/>
          <w:bCs/>
          <w:i w:val="false"/>
          <w:iCs w:val="false"/>
          <w:color w:val="595959"/>
          <w:sz w:val="21"/>
          <w:szCs w:val="21"/>
        </w:rPr>
        <w:t xml:space="preserve">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600"/>
        <w:gridCol w:w="1826"/>
      </w:tblGrid>
      <w:tr>
        <w:trPr>
          <w:tblHeader/>
        </w:trPr>
        <w:tc>
          <w:tcPr>
            <w:tcW w:type="dxa" w:w="2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Stage</w:t>
            </w:r>
          </w:p>
        </w:tc>
        <w:tc>
          <w:tcPr>
            <w:tcW w:type="dxa" w:w="2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Name / Body</w:t>
            </w:r>
          </w:p>
        </w:tc>
        <w:tc>
          <w:tcPr>
            <w:tcW w:type="dxa" w:w="16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Date</w:t>
            </w:r>
          </w:p>
        </w:tc>
        <w:tc>
          <w:tcPr>
            <w:tcW w:type="dxa" w:w="18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Signature</w:t>
            </w:r>
          </w:p>
        </w:tc>
      </w:tr>
      <w:tr>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leaders</w:t>
            </w:r>
          </w:p>
        </w:tc>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8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External module auditor</w:t>
            </w:r>
          </w:p>
        </w:tc>
        <w:tc>
          <w:tcPr>
            <w:tcW w:type="dxa" w:w="2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6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8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Curriculum Committee</w:t>
            </w:r>
          </w:p>
        </w:tc>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8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2026-07-20T09:52:02.386Z</dcterms:created>
  <dcterms:modified xsi:type="dcterms:W3CDTF">2026-07-20T09:52:02.386Z</dcterms:modified>
</cp:coreProperties>
</file>

<file path=docProps/custom.xml><?xml version="1.0" encoding="utf-8"?>
<Properties xmlns="http://schemas.openxmlformats.org/officeDocument/2006/custom-properties" xmlns:vt="http://schemas.openxmlformats.org/officeDocument/2006/docPropsVTypes"/>
</file>