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pen Sans" w:cs="Open Sans" w:eastAsia="Open Sans" w:hAnsi="Open Sans"/>
          <w:b w:val="false"/>
          <w:bCs w:val="false"/>
          <w:i w:val="false"/>
          <w:iCs w:val="false"/>
          <w:color w:val="595959"/>
          <w:sz w:val="20"/>
          <w:szCs w:val="20"/>
        </w:rPr>
        <w:t xml:space="preserve">Module Descriptor</w:t>
      </w:r>
    </w:p>
    <w:p>
      <w:pPr>
        <w:pBdr>
          <w:bottom w:val="single" w:color="595959" w:sz="12" w:space="4"/>
        </w:pBdr>
        <w:spacing w:after="40"/>
      </w:pPr>
      <w:r>
        <w:rPr>
          <w:rFonts w:ascii="Open Sans" w:cs="Open Sans" w:eastAsia="Open Sans" w:hAnsi="Open Sans"/>
          <w:b/>
          <w:bCs/>
          <w:i w:val="false"/>
          <w:iCs w:val="false"/>
          <w:color w:val="595959"/>
          <w:sz w:val="32"/>
          <w:szCs w:val="32"/>
        </w:rPr>
        <w:t xml:space="preserve">Industrial Training</w:t>
      </w:r>
    </w:p>
    <w:p>
      <w:pPr>
        <w:spacing w:after="4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NB-SOCE-L4-SE-SK-02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(Software Engineering)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Skills</w:t>
      </w:r>
    </w:p>
    <w:p>
      <w:pPr>
        <w:spacing w:after="40" w:before="0"/>
      </w:pP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w:t>
      </w:r>
      <w:r>
        <w:rPr>
          <w:rFonts w:ascii="Open Sans" w:cs="Open Sans" w:eastAsia="Open Sans" w:hAnsi="Open Sans"/>
          <w:b/>
          <w:bCs/>
          <w:i w:val="false"/>
          <w:iCs w:val="false"/>
          <w:color w:val="000000"/>
          <w:sz w:val="20"/>
          <w:szCs w:val="20"/>
        </w:rPr>
        <w:t xml:space="preserve">Date: </w:t>
      </w:r>
      <w:r>
        <w:rPr>
          <w:rFonts w:ascii="Open Sans" w:cs="Open Sans" w:eastAsia="Open Sans" w:hAnsi="Open Sans"/>
          <w:b w:val="false"/>
          <w:bCs w:val="false"/>
          <w:i w:val="false"/>
          <w:iCs w:val="false"/>
          <w:color w:val="000000"/>
          <w:sz w:val="20"/>
          <w:szCs w:val="20"/>
        </w:rPr>
        <w:t xml:space="preserve">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Sri Lanka Qualifications Framework (September 2015, University Grants Commission)</w:t>
      </w:r>
    </w:p>
    <w:p>
      <w:pPr>
        <w:spacing w:after="160" w:before="240"/>
      </w:pPr>
      <w:r>
        <w:rPr>
          <w:rFonts w:ascii="Open Sans" w:cs="Open Sans" w:eastAsia="Open Sans" w:hAnsi="Open Sans"/>
          <w:b/>
          <w:bCs/>
          <w:i w:val="false"/>
          <w:iCs w:val="false"/>
          <w:color w:val="595959"/>
          <w:sz w:val="26"/>
          <w:szCs w:val="26"/>
        </w:rPr>
        <w:t xml:space="preserve">1. Module Identity and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Field</w:t>
            </w:r>
          </w:p>
        </w:tc>
        <w:tc>
          <w:tcPr>
            <w:tcW w:type="dxa" w:w="64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code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NB-SOCE-L4-SE-SK-02</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title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Industrial Training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Scope /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Pathway: Computer Science with Software Engineering  ·  Pathway / Skills</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SLQF level / credits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Level 4 (Year 2)  ·  5 credits  ·  500 notional hours (Industrial Training convention: 1 credit = 100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Progression targets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Professional practice and workplace competence feeding the degree Project and graduate employment; not a taught-content feeder. Business and Project Management Practice supplies workplace-readiness grounding.</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Prerequisites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Placement readiness supported by the Year 1-2 skills spine and the School’s career guidance oversight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Delivery mode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Induction, placement (External Sourced or NIBM Breeding), supervision touchpoints, reporting and assessment; placement block outside teaching weeks</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Hours profile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Industrial Training profile (500 hours; 1 credit = 100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Exit-award relevance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Placement completion, the individually maintained placement log, the placement report and the viva record are auditable workplace competency evidence, central to the Higher National Diploma-level profile and held adaptable to vocational workplace sign-off. TVEC requirements are not yet final; additional requirements may be introduced, and specifications remain adaptable.</w:t>
            </w:r>
          </w:p>
        </w:tc>
      </w:tr>
    </w:tbl>
    <w:p>
      <w:pPr>
        <w:spacing w:after="160" w:before="240"/>
      </w:pPr>
      <w:r>
        <w:rPr>
          <w:rFonts w:ascii="Open Sans" w:cs="Open Sans" w:eastAsia="Open Sans" w:hAnsi="Open Sans"/>
          <w:b/>
          <w:bCs/>
          <w:i w:val="false"/>
          <w:iCs w:val="false"/>
          <w:color w:val="595959"/>
          <w:sz w:val="26"/>
          <w:szCs w:val="26"/>
        </w:rPr>
        <w:t xml:space="preserve">2. Module Purpose and Aims</w:t>
      </w:r>
    </w:p>
    <w:p>
      <w:pPr>
        <w:spacing w:after="120" w:before="200"/>
      </w:pPr>
      <w:r>
        <w:rPr>
          <w:rFonts w:ascii="Open Sans" w:cs="Open Sans" w:eastAsia="Open Sans" w:hAnsi="Open Sans"/>
          <w:b/>
          <w:bCs/>
          <w:i w:val="false"/>
          <w:iCs w:val="false"/>
          <w:color w:val="595959"/>
          <w:sz w:val="22"/>
          <w:szCs w:val="22"/>
        </w:rPr>
        <w:t xml:space="preserve">The Common Frame (fixed across all four pathways)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595959" w:sz="24"/>
              <w:bottom w:val="none"/>
              <w:right w:val="none"/>
            </w:tcBorders>
            <w:shd w:fill="F7F7F7" w:val="clear"/>
            <w:tcMar>
              <w:top w:type="dxa" w:w="120"/>
              <w:left w:type="dxa" w:w="180"/>
              <w:bottom w:type="dxa" w:w="120"/>
              <w:right w:type="dxa" w:w="140"/>
            </w:tcMar>
          </w:tcPr>
          <w:p>
            <w:pPr>
              <w:spacing w:after="80"/>
            </w:pPr>
            <w:r>
              <w:rPr>
                <w:rFonts w:ascii="Open Sans" w:cs="Open Sans" w:eastAsia="Open Sans" w:hAnsi="Open Sans"/>
                <w:b/>
                <w:bCs/>
                <w:i w:val="false"/>
                <w:iCs w:val="false"/>
                <w:color w:val="000000"/>
                <w:sz w:val="20"/>
                <w:szCs w:val="20"/>
              </w:rPr>
              <w:t xml:space="preserve">Industrial Training (5 credits x 100 hours = 500 hours, Level 4): </w:t>
            </w:r>
            <w:r>
              <w:rPr>
                <w:rFonts w:ascii="Open Sans" w:cs="Open Sans" w:eastAsia="Open Sans" w:hAnsi="Open Sans"/>
                <w:b w:val="false"/>
                <w:bCs w:val="false"/>
                <w:i w:val="false"/>
                <w:iCs w:val="false"/>
                <w:color w:val="000000"/>
                <w:sz w:val="20"/>
                <w:szCs w:val="20"/>
              </w:rPr>
              <w:t xml:space="preserve">Induction and placement preparation 9; Placement (External Sourced or NIBM Breeding) 458; Supervision touchpoints 12; Reporting and assessment 21. The placement block is scheduled outside teaching weeks - this commitment is fixed and is part of the Year 2 workload design. Assessment components: placement completion, an individually maintained placement log (coursework), a placement report (coursework), and a closing mandatory viva-defence. Evidence artefacts (log, report, viva record) are auditable competency evidence; TVEC requirements are not yet final and specifications remain adaptable.</w:t>
            </w:r>
          </w:p>
          <w:p>
            <w:pPr>
              <w:spacing w:after="80"/>
            </w:pPr>
            <w:r>
              <w:rPr>
                <w:rFonts w:ascii="Open Sans" w:cs="Open Sans" w:eastAsia="Open Sans" w:hAnsi="Open Sans"/>
                <w:b/>
                <w:bCs/>
                <w:i w:val="false"/>
                <w:iCs w:val="false"/>
                <w:color w:val="000000"/>
                <w:sz w:val="20"/>
                <w:szCs w:val="20"/>
              </w:rPr>
              <w:t xml:space="preserve"/>
            </w:r>
            <w:r>
              <w:rPr>
                <w:rFonts w:ascii="Open Sans" w:cs="Open Sans" w:eastAsia="Open Sans" w:hAnsi="Open Sans"/>
                <w:b w:val="false"/>
                <w:bCs w:val="false"/>
                <w:i/>
                <w:iCs/>
                <w:color w:val="000000"/>
                <w:sz w:val="20"/>
                <w:szCs w:val="20"/>
              </w:rPr>
              <w:t xml:space="preserve">This structure is fixed across all four pathways; pathway character lives in domains and supervision, never in the structure.</w:t>
            </w:r>
          </w:p>
        </w:tc>
      </w:tr>
    </w:tbl>
    <w:p>
      <w:pPr>
        <w:spacing w:after="120" w:before="120"/>
      </w:pPr>
      <w:r>
        <w:rPr>
          <w:rFonts w:ascii="Open Sans" w:cs="Open Sans" w:eastAsia="Open Sans" w:hAnsi="Open Sans"/>
          <w:b w:val="false"/>
          <w:bCs w:val="false"/>
          <w:i w:val="false"/>
          <w:iCs w:val="false"/>
          <w:color w:val="000000"/>
          <w:sz w:val="20"/>
          <w:szCs w:val="20"/>
        </w:rPr>
        <w:t xml:space="preserve">Industrial Training is the workplace-competence module of the Software Engineering pathway: a supervised industry placement in a software-engineering setting, in which students apply pathway competencies in real organisational work, operate professionally, and document the experience as auditable evidence. Placements are sourced externally or through the NIBM Breeding arrangement; oversight is by the School’s career guidance function with pathway domain supervision.</w:t>
      </w:r>
    </w:p>
    <w:p>
      <w:pPr>
        <w:spacing w:after="120" w:before="120"/>
      </w:pPr>
      <w:r>
        <w:rPr>
          <w:rFonts w:ascii="Open Sans" w:cs="Open Sans" w:eastAsia="Open Sans" w:hAnsi="Open Sans"/>
          <w:b w:val="false"/>
          <w:bCs w:val="false"/>
          <w:i w:val="false"/>
          <w:iCs w:val="false"/>
          <w:color w:val="000000"/>
          <w:sz w:val="20"/>
          <w:szCs w:val="20"/>
        </w:rPr>
        <w:t xml:space="preserve">The placement block sits outside teaching weeks - the fixed commitment reproduced above, part of the Year 2 workload design. The scope limit is stated in the boundary: this module carries no taught pathway content.</w:t>
      </w:r>
    </w:p>
    <w:p>
      <w:pPr>
        <w:spacing w:after="120" w:before="200"/>
      </w:pPr>
      <w:r>
        <w:rPr>
          <w:rFonts w:ascii="Open Sans" w:cs="Open Sans" w:eastAsia="Open Sans" w:hAnsi="Open Sans"/>
          <w:b/>
          <w:bCs/>
          <w:i w:val="false"/>
          <w:iCs w:val="false"/>
          <w:color w:val="595959"/>
          <w:sz w:val="22"/>
          <w:szCs w:val="22"/>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595959" w:sz="24"/>
              <w:bottom w:val="none"/>
              <w:right w:val="none"/>
            </w:tcBorders>
            <w:shd w:fill="F7F7F7" w:val="clear"/>
            <w:tcMar>
              <w:top w:type="dxa" w:w="120"/>
              <w:left w:type="dxa" w:w="180"/>
              <w:bottom w:type="dxa" w:w="120"/>
              <w:right w:type="dxa" w:w="140"/>
            </w:tcMar>
          </w:tcPr>
          <w:p>
            <w:pPr>
              <w:spacing w:after="80"/>
            </w:pPr>
            <w:r>
              <w:rPr>
                <w:rFonts w:ascii="Open Sans" w:cs="Open Sans" w:eastAsia="Open Sans" w:hAnsi="Open Sans"/>
                <w:b/>
                <w:bCs/>
                <w:i w:val="false"/>
                <w:iCs w:val="false"/>
                <w:color w:val="000000"/>
                <w:sz w:val="20"/>
                <w:szCs w:val="20"/>
              </w:rPr>
              <w:t xml:space="preserve">Covers: </w:t>
            </w:r>
            <w:r>
              <w:rPr>
                <w:rFonts w:ascii="Open Sans" w:cs="Open Sans" w:eastAsia="Open Sans" w:hAnsi="Open Sans"/>
                <w:b w:val="false"/>
                <w:bCs w:val="false"/>
                <w:i w:val="false"/>
                <w:iCs w:val="false"/>
                <w:color w:val="000000"/>
                <w:sz w:val="20"/>
                <w:szCs w:val="20"/>
              </w:rPr>
              <w:t xml:space="preserve">supervised industry placement; induction; workplace competence; reporting and viva.</w:t>
            </w:r>
          </w:p>
          <w:p>
            <w:pPr>
              <w:spacing w:after="80"/>
            </w:pPr>
            <w:r>
              <w:rPr>
                <w:rFonts w:ascii="Open Sans" w:cs="Open Sans" w:eastAsia="Open Sans" w:hAnsi="Open Sans"/>
                <w:b/>
                <w:bCs/>
                <w:i w:val="false"/>
                <w:iCs w:val="false"/>
                <w:color w:val="000000"/>
                <w:sz w:val="20"/>
                <w:szCs w:val="20"/>
              </w:rPr>
              <w:t xml:space="preserve">Does NOT cover: </w:t>
            </w:r>
            <w:r>
              <w:rPr>
                <w:rFonts w:ascii="Open Sans" w:cs="Open Sans" w:eastAsia="Open Sans" w:hAnsi="Open Sans"/>
                <w:b w:val="false"/>
                <w:bCs w:val="false"/>
                <w:i w:val="false"/>
                <w:iCs w:val="false"/>
                <w:color w:val="000000"/>
                <w:sz w:val="20"/>
                <w:szCs w:val="20"/>
              </w:rPr>
              <w:t xml:space="preserve">taught pathway content.</w:t>
            </w:r>
          </w:p>
          <w:p>
            <w:pPr>
              <w:spacing w:after="80"/>
            </w:pPr>
            <w:r>
              <w:rPr>
                <w:rFonts w:ascii="Open Sans" w:cs="Open Sans" w:eastAsia="Open Sans" w:hAnsi="Open Sans"/>
                <w:b/>
                <w:bCs/>
                <w:i w:val="false"/>
                <w:iCs w:val="false"/>
                <w:color w:val="000000"/>
                <w:sz w:val="20"/>
                <w:szCs w:val="20"/>
              </w:rPr>
              <w:t xml:space="preserve"/>
            </w:r>
            <w:r>
              <w:rPr>
                <w:rFonts w:ascii="Open Sans" w:cs="Open Sans" w:eastAsia="Open Sans" w:hAnsi="Open Sans"/>
                <w:b w:val="false"/>
                <w:bCs w:val="false"/>
                <w:i/>
                <w:iCs/>
                <w:color w:val="000000"/>
                <w:sz w:val="20"/>
                <w:szCs w:val="20"/>
              </w:rPr>
              <w:t xml:space="preserve">Changes to this boundary are made only through the School’s formal change-control process.</w:t>
            </w:r>
          </w:p>
        </w:tc>
      </w:tr>
    </w:tbl>
    <w:p>
      <w:pPr>
        <w:spacing w:after="160" w:before="240"/>
      </w:pPr>
      <w:r>
        <w:rPr>
          <w:rFonts w:ascii="Open Sans" w:cs="Open Sans" w:eastAsia="Open Sans" w:hAnsi="Open Sans"/>
          <w:b/>
          <w:bCs/>
          <w:i w:val="false"/>
          <w:iCs w:val="false"/>
          <w:color w:val="595959"/>
          <w:sz w:val="26"/>
          <w:szCs w:val="26"/>
        </w:rPr>
        <w:t xml:space="preserve">3. Learning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Ref</w:t>
            </w:r>
          </w:p>
        </w:tc>
        <w:tc>
          <w:tcPr>
            <w:tcW w:type="dxa" w:w="5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Intended Learning Outcome</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Cognitive level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 pathway competencies in a workplace setting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w:t>
            </w:r>
          </w:p>
        </w:tc>
        <w:tc>
          <w:tcPr>
            <w:tcW w:type="dxa" w:w="5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Operate professionally within an organisation, exercising personal responsibility in assigned tasks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Professional practice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Document and reflect on the placement experience as auditable competency evidence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Reflective practice</w:t>
            </w:r>
          </w:p>
        </w:tc>
      </w:tr>
    </w:tbl>
    <w:p>
      <w:pPr>
        <w:spacing w:after="160" w:before="240"/>
      </w:pPr>
      <w:r>
        <w:rPr>
          <w:rFonts w:ascii="Open Sans" w:cs="Open Sans" w:eastAsia="Open Sans" w:hAnsi="Open Sans"/>
          <w:b/>
          <w:bCs/>
          <w:i w:val="false"/>
          <w:iCs w:val="false"/>
          <w:color w:val="595959"/>
          <w:sz w:val="26"/>
          <w:szCs w:val="26"/>
        </w:rPr>
        <w:t xml:space="preserve">4. Programme Structure</w:t>
      </w:r>
    </w:p>
    <w:p>
      <w:pPr>
        <w:spacing w:after="120" w:before="200"/>
      </w:pPr>
      <w:r>
        <w:rPr>
          <w:rFonts w:ascii="Open Sans" w:cs="Open Sans" w:eastAsia="Open Sans" w:hAnsi="Open Sans"/>
          <w:b/>
          <w:bCs/>
          <w:i w:val="false"/>
          <w:iCs w:val="false"/>
          <w:color w:val="595959"/>
          <w:sz w:val="22"/>
          <w:szCs w:val="22"/>
        </w:rPr>
        <w:t xml:space="preserve">Induction and Placement Preparation (9 hours, three 3-hour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Session</w:t>
            </w:r>
          </w:p>
        </w:tc>
        <w:tc>
          <w:tcPr>
            <w:tcW w:type="dxa" w:w="7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Theme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S1</w:t>
            </w:r>
          </w:p>
        </w:tc>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Workplace expectations and professional conduct</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S2</w:t>
            </w:r>
          </w:p>
        </w:tc>
        <w:tc>
          <w:tcPr>
            <w:tcW w:type="dxa" w:w="7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Placement logistics; the log, the report and the assessment structure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S3</w:t>
            </w:r>
          </w:p>
        </w:tc>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Safety, confidentiality and intellectual-property awareness in the workplace</w:t>
            </w:r>
          </w:p>
        </w:tc>
      </w:tr>
    </w:tbl>
    <w:p>
      <w:pPr>
        <w:spacing w:after="120" w:before="200"/>
      </w:pPr>
      <w:r>
        <w:rPr>
          <w:rFonts w:ascii="Open Sans" w:cs="Open Sans" w:eastAsia="Open Sans" w:hAnsi="Open Sans"/>
          <w:b/>
          <w:bCs/>
          <w:i w:val="false"/>
          <w:iCs w:val="false"/>
          <w:color w:val="595959"/>
          <w:sz w:val="22"/>
          <w:szCs w:val="22"/>
        </w:rPr>
        <w:t xml:space="preserve">Placement Arrangement (458 hours)</w:t>
      </w:r>
    </w:p>
    <w:p>
      <w:pPr>
        <w:spacing w:after="120" w:before="60"/>
      </w:pPr>
      <w:r>
        <w:rPr>
          <w:rFonts w:ascii="Open Sans" w:cs="Open Sans" w:eastAsia="Open Sans" w:hAnsi="Open Sans"/>
          <w:b w:val="false"/>
          <w:bCs w:val="false"/>
          <w:i w:val="false"/>
          <w:iCs w:val="false"/>
          <w:color w:val="000000"/>
          <w:sz w:val="20"/>
          <w:szCs w:val="20"/>
        </w:rPr>
        <w:t xml:space="preserve">Placement is External Sourced or NIBM Breeding, in a software-engineering setting, scheduled as a block outside teaching weeks; this scheduling commitment is fixed. Workplace supervision is agreed at placement set-up; the School’s career guidance function holds oversight with pathway domain supervision on the academic side.</w:t>
      </w:r>
    </w:p>
    <w:p>
      <w:pPr>
        <w:spacing w:after="120" w:before="200"/>
      </w:pPr>
      <w:r>
        <w:rPr>
          <w:rFonts w:ascii="Open Sans" w:cs="Open Sans" w:eastAsia="Open Sans" w:hAnsi="Open Sans"/>
          <w:b/>
          <w:bCs/>
          <w:i w:val="false"/>
          <w:iCs w:val="false"/>
          <w:color w:val="595959"/>
          <w:sz w:val="22"/>
          <w:szCs w:val="22"/>
        </w:rPr>
        <w:t xml:space="preserve">Supervision Touchpoints (12 hours)</w:t>
      </w:r>
    </w:p>
    <w:p>
      <w:pPr>
        <w:spacing w:after="120" w:before="60"/>
      </w:pPr>
      <w:r>
        <w:rPr>
          <w:rFonts w:ascii="Open Sans" w:cs="Open Sans" w:eastAsia="Open Sans" w:hAnsi="Open Sans"/>
          <w:b w:val="false"/>
          <w:bCs w:val="false"/>
          <w:i w:val="false"/>
          <w:iCs w:val="false"/>
          <w:color w:val="000000"/>
          <w:sz w:val="20"/>
          <w:szCs w:val="20"/>
        </w:rPr>
        <w:t xml:space="preserve">Scheduled touchpoints across the placement between the student, the academic supervisor and (as arranged) the workplace supervisor; the pattern is set at teaching-plan confirmation. Touchpoint records feed the assessment evidence set.</w:t>
      </w:r>
    </w:p>
    <w:p>
      <w:pPr>
        <w:spacing w:after="120" w:before="200"/>
      </w:pPr>
      <w:r>
        <w:rPr>
          <w:rFonts w:ascii="Open Sans" w:cs="Open Sans" w:eastAsia="Open Sans" w:hAnsi="Open Sans"/>
          <w:b/>
          <w:bCs/>
          <w:i w:val="false"/>
          <w:iCs w:val="false"/>
          <w:color w:val="595959"/>
          <w:sz w:val="22"/>
          <w:szCs w:val="22"/>
        </w:rPr>
        <w:t xml:space="preserve">Reporting and Assessment (21 hours)</w:t>
      </w:r>
    </w:p>
    <w:p>
      <w:pPr>
        <w:spacing w:after="120" w:before="60"/>
      </w:pPr>
      <w:r>
        <w:rPr>
          <w:rFonts w:ascii="Open Sans" w:cs="Open Sans" w:eastAsia="Open Sans" w:hAnsi="Open Sans"/>
          <w:b w:val="false"/>
          <w:bCs w:val="false"/>
          <w:i w:val="false"/>
          <w:iCs w:val="false"/>
          <w:color w:val="000000"/>
          <w:sz w:val="20"/>
          <w:szCs w:val="20"/>
        </w:rPr>
        <w:t xml:space="preserve">Log-maintenance guidance across the placement; report preparation; the closing viva.</w:t>
      </w:r>
    </w:p>
    <w:p>
      <w:pPr>
        <w:spacing w:after="120" w:before="200"/>
      </w:pPr>
      <w:r>
        <w:rPr>
          <w:rFonts w:ascii="Open Sans" w:cs="Open Sans" w:eastAsia="Open Sans" w:hAnsi="Open Sans"/>
          <w:b/>
          <w:bCs/>
          <w:i w:val="false"/>
          <w:iCs w:val="false"/>
          <w:color w:val="595959"/>
          <w:sz w:val="22"/>
          <w:szCs w:val="22"/>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c>
          <w:tcPr>
            <w:tcW w:type="dxa" w:w="66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Hours</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Induction and placement preparation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Placement (External Sourced or NIBM Breeding)</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458</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Supervision touchpoints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12</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Reporting and assessment</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21</w:t>
            </w:r>
          </w:p>
        </w:tc>
      </w:tr>
      <w:tr>
        <w:tc>
          <w:tcPr>
            <w:tcW w:type="dxa" w:w="66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w:t>
            </w:r>
          </w:p>
        </w:tc>
        <w:tc>
          <w:tcPr>
            <w:tcW w:type="dxa" w:w="2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500</w:t>
            </w:r>
          </w:p>
        </w:tc>
      </w:tr>
    </w:tbl>
    <w:p>
      <w:pPr>
        <w:spacing w:after="160" w:before="240"/>
      </w:pPr>
      <w:r>
        <w:rPr>
          <w:rFonts w:ascii="Open Sans" w:cs="Open Sans" w:eastAsia="Open Sans" w:hAnsi="Open Sans"/>
          <w:b/>
          <w:bCs/>
          <w:i w:val="false"/>
          <w:iCs w:val="false"/>
          <w:color w:val="595959"/>
          <w:sz w:val="26"/>
          <w:szCs w:val="26"/>
        </w:rPr>
        <w:t xml:space="preserve">5.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26"/>
        <w:gridCol w:w="2100"/>
        <w:gridCol w:w="1300"/>
        <w:gridCol w:w="800"/>
      </w:tblGrid>
      <w:tr>
        <w:tc>
          <w:tcPr>
            <w:tcW w:type="dxa" w:w="15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33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Task</w:t>
            </w:r>
          </w:p>
        </w:tc>
        <w:tc>
          <w:tcPr>
            <w:tcW w:type="dxa" w:w="21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Conditions</w:t>
            </w:r>
          </w:p>
        </w:tc>
        <w:tc>
          <w:tcPr>
            <w:tcW w:type="dxa" w:w="13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Learning outcomes</w:t>
            </w:r>
          </w:p>
        </w:tc>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Practical</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Placement completion: sustained demonstration of workplace competence across the placement, confirmed through workplace supervision and the School’s career guidance oversight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Pass-Fail; threshold condition of passing the module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 LO2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0%</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w:t>
            </w:r>
          </w:p>
        </w:tc>
        <w:tc>
          <w:tcPr>
            <w:tcW w:type="dxa" w:w="33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Individually maintained placement log</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take-home; Graded; Viva/Presentation: None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 LO3</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Placement report with the closing viva-defence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take-home; Graded; Viva/Presentation: Viva-defence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 LO3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65%</w:t>
            </w:r>
          </w:p>
        </w:tc>
      </w:tr>
    </w:tbl>
    <w:p>
      <w:pPr>
        <w:spacing w:after="120" w:before="120"/>
      </w:pPr>
      <w:r>
        <w:rPr>
          <w:rFonts w:ascii="Open Sans" w:cs="Open Sans" w:eastAsia="Open Sans" w:hAnsi="Open Sans"/>
          <w:b w:val="false"/>
          <w:bCs w:val="false"/>
          <w:i w:val="false"/>
          <w:iCs w:val="false"/>
          <w:color w:val="000000"/>
          <w:sz w:val="20"/>
          <w:szCs w:val="20"/>
        </w:rPr>
        <w:t xml:space="preserve">Placement completion is assessed pass-fail because it is threshold competency evidence - the fact of sustained, supervised workplace performance - and vocational workplace sign-off is by nature a threshold confirmation; percentage-grading the fact of completion would add no evidential value, while the graded log and report carry the quality differentiation. The pass-fail component carries no percentage weight and is a condition of passing the module; the graded weights sum to 100%. Weightings are confirmed at specification sign-off. The closing viva-defence is attached to the report as its mandatory oral element. Reassessment is by failed component; failure of placement completion is remediated by a further placement arrangement through the School’s career guidance function. Academic-integrity and generative-AI expectations follow School policy; the log’s individual maintenance, the touchpoint records and the viva-defence are the authorship evidence.</w:t>
      </w:r>
    </w:p>
    <w:p>
      <w:pPr>
        <w:spacing w:after="160" w:before="240"/>
      </w:pPr>
      <w:r>
        <w:rPr>
          <w:rFonts w:ascii="Open Sans" w:cs="Open Sans" w:eastAsia="Open Sans" w:hAnsi="Open Sans"/>
          <w:b/>
          <w:bCs/>
          <w:i w:val="false"/>
          <w:iCs w:val="false"/>
          <w:color w:val="595959"/>
          <w:sz w:val="26"/>
          <w:szCs w:val="26"/>
        </w:rPr>
        <w:t xml:space="preserve">6. Resources, Staff and Governance</w:t>
      </w:r>
    </w:p>
    <w:p>
      <w:pPr>
        <w:spacing w:after="120" w:before="200"/>
      </w:pPr>
      <w:r>
        <w:rPr>
          <w:rFonts w:ascii="Open Sans" w:cs="Open Sans" w:eastAsia="Open Sans" w:hAnsi="Open Sans"/>
          <w:b/>
          <w:bCs/>
          <w:i w:val="false"/>
          <w:iCs w:val="false"/>
          <w:color w:val="595959"/>
          <w:sz w:val="22"/>
          <w:szCs w:val="22"/>
        </w:rPr>
        <w:t xml:space="preserve">Indicative Reading</w:t>
      </w:r>
    </w:p>
    <w:p>
      <w:pPr>
        <w:spacing w:after="60"/>
        <w:ind w:left="360" w:hanging="200"/>
      </w:pPr>
      <w:r>
        <w:rPr>
          <w:rFonts w:ascii="Open Sans" w:cs="Open Sans" w:eastAsia="Open Sans" w:hAnsi="Open Sans"/>
          <w:b w:val="false"/>
          <w:bCs w:val="false"/>
          <w:i w:val="false"/>
          <w:iCs w:val="false"/>
          <w:color w:val="000000"/>
          <w:sz w:val="20"/>
          <w:szCs w:val="20"/>
        </w:rPr>
        <w:t xml:space="preserve">–  Fanthome, C., Work Placements - A Survival Guide for Students, Palgrave Macmillan.</w:t>
      </w:r>
    </w:p>
    <w:p>
      <w:pPr>
        <w:spacing w:after="60"/>
        <w:ind w:left="360" w:hanging="200"/>
      </w:pPr>
      <w:r>
        <w:rPr>
          <w:rFonts w:ascii="Open Sans" w:cs="Open Sans" w:eastAsia="Open Sans" w:hAnsi="Open Sans"/>
          <w:b w:val="false"/>
          <w:bCs w:val="false"/>
          <w:i w:val="false"/>
          <w:iCs w:val="false"/>
          <w:color w:val="000000"/>
          <w:sz w:val="20"/>
          <w:szCs w:val="20"/>
        </w:rPr>
        <w:t xml:space="preserve">–  Placement handbook and log template, named as School-provided materials; confirmed at teaching-plan confirmation; formats held adaptable to vocational workplace sign-off requirements.</w:t>
      </w:r>
    </w:p>
    <w:p>
      <w:pPr>
        <w:spacing w:after="120" w:before="200"/>
      </w:pPr>
      <w:r>
        <w:rPr>
          <w:rFonts w:ascii="Open Sans" w:cs="Open Sans" w:eastAsia="Open Sans" w:hAnsi="Open Sans"/>
          <w:b/>
          <w:bCs/>
          <w:i w:val="false"/>
          <w:iCs w:val="false"/>
          <w:color w:val="595959"/>
          <w:sz w:val="22"/>
          <w:szCs w:val="22"/>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Role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Name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1</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2</w:t>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External module auditor</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Placement overseen by the School’s career guidance function with Software Engineering domain supervision; generic oversight without software-domain supervision is non-compliant.</w:t>
      </w:r>
    </w:p>
    <w:p>
      <w:pPr>
        <w:spacing w:after="120" w:before="200"/>
      </w:pPr>
      <w:r>
        <w:rPr>
          <w:rFonts w:ascii="Open Sans" w:cs="Open Sans" w:eastAsia="Open Sans" w:hAnsi="Open Sans"/>
          <w:b/>
          <w:bCs/>
          <w:i w:val="false"/>
          <w:iCs w:val="false"/>
          <w:color w:val="595959"/>
          <w:sz w:val="22"/>
          <w:szCs w:val="22"/>
        </w:rPr>
        <w:t xml:space="preserve">Version and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613"/>
        <w:gridCol w:w="2413"/>
      </w:tblGrid>
      <w:tr>
        <w:tc>
          <w:tcPr>
            <w:tcW w:type="dxa" w:w="12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Date</w:t>
            </w:r>
          </w:p>
        </w:tc>
        <w:tc>
          <w:tcPr>
            <w:tcW w:type="dxa" w:w="36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Amendment</w:t>
            </w:r>
          </w:p>
        </w:tc>
        <w:tc>
          <w:tcPr>
            <w:tcW w:type="dxa" w:w="24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Approved by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20 Jul 2026</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Initial descriptor</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2026-07-20T11:09:52.973Z</dcterms:created>
  <dcterms:modified xsi:type="dcterms:W3CDTF">2026-07-20T11:09:52.973Z</dcterms:modified>
</cp:coreProperties>
</file>

<file path=docProps/custom.xml><?xml version="1.0" encoding="utf-8"?>
<Properties xmlns="http://schemas.openxmlformats.org/officeDocument/2006/custom-properties" xmlns:vt="http://schemas.openxmlformats.org/officeDocument/2006/docPropsVTypes"/>
</file>