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Module Descriptor</w:t>
      </w:r>
    </w:p>
    <w:p>
      <w:pPr>
        <w:pBdr>
          <w:bottom w:val="single" w:color="595959" w:sz="12" w:space="4"/>
        </w:pBdr>
        <w:spacing w:after="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32"/>
          <w:szCs w:val="32"/>
        </w:rPr>
        <w:t xml:space="preserve">Enterprise Application Development</w:t>
      </w:r>
    </w:p>
    <w:p>
      <w:pPr>
        <w:spacing w:after="4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Code: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NB-SOCE-L4-SE-TT-01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Tier: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(Software Engineering)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Type: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/ Taught</w:t>
      </w:r>
    </w:p>
    <w:p>
      <w:pPr>
        <w:spacing w:after="4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Status: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Draft for Review v1.0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Date: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20 Jul 2026</w:t>
      </w:r>
    </w:p>
    <w:p>
      <w:pPr>
        <w:spacing w:after="20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Sources: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School curriculum decision records; Sri Lanka Qualifications Framework (September 2015, University Grants Commission)</w:t>
      </w:r>
    </w:p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1. Module Identity and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Module code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NB-SOCE-L4-SE-TT-01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Module title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Enterprise Application Development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Scope / type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Pathway: Computer Science with Software Engineering  ·  Pathway / Taught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SLQF level / credits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Level 4 (Year 2)  ·  4 credits  ·  200 notional hours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Progression targets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NB6007CEM Web API Development (application construction); NB6034CEM Software Engineering 2 (large-scale solution build, applied design patterns, architecture in practice). Students arrive SQL-fluent from Year 1, so the applied persistence work starts at a higher level.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Software Architecture Foundations (structure in principle, which this module implements); Programming Concepts; Data Models and Management Systems (SQL fluency and database-management-system use assumed, not introduced)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Delivery mode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Session-based: 3-hour blocks; 22 lecture sessions plus tutorials, practicals and demonstration per the hours profile; laboratory-heavy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Hours profile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Taught 4-credit profile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2. Module Purpose and Aims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module is where structure moves from principle to practice for the Software Engineering pathway: students who can explain architectural styles and reason about quality attributes now build an enterprise application that implements those judgments through software design patterns, framework-based development and applied persistence. The working language is Java, continuing the Year 1 programming chain into the enterprise context, per the School’s working-languages decision. The module holds one of the pathway’s two DevOps homes - continuous integration for enterprise builds - paired with the delivery pipeline owned by Web and Cloud Application Development.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scope limit is deliberate: SQL and database fundamentals are assumed from Year 1, not re-taught; architectural theory stays in its Year 1 owner; web, API and cloud delivery, and testing depth, are each owned elsewhere in the pathway.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Specification Boundary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595959" w:sz="24"/>
              <w:bottom w:val="none"/>
              <w:right w:val="none"/>
            </w:tcBorders>
            <w:shd w:fill="F7F7F7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Covers: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applied enterprise application construction; software design patterns; applied persistence - data-access layers, framework and ORM persistence, transactions within an application build; framework-based development; continuous integration for enterprise builds (one of the pathway’s two DevOps homes, paired with Web and Cloud Application Development’s delivery pipeline).</w:t>
            </w:r>
          </w:p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Does NOT cover: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SQL teaching and database-management-system fundamentals (Data Models and Management Systems - this module assumes fluency); architectural styles and quality-attribute theory (Software Architecture Foundations); web/API-specific and cloud delivery (Web and Cloud Application Development); testing and quality assurance depth (Software Quality and Testing).</w:t>
            </w:r>
          </w:p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Open Sans" w:cs="Open Sans" w:eastAsia="Open Sans" w:hAnsi="Open San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Changes to this boundary are made only through the School’s formal change-control process.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3. Learning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26"/>
        <w:gridCol w:w="240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Intended Learning Outcome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Cognitive level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Design and build an enterprise application, analysing the problem structure and justifying the design patterns selected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Analyse / Apply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LO2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a data-access and persistence layer over an assumed SQL base, using framework and ORM persistence with transactional integrity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LO3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 framework-based development and a continuous-integration workflow to an enterprise build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4. Curriculum and Delivery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Indicative Syllabus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26"/>
        <w:gridCol w:w="140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Lecture hours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U1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enterprise application: layered application structure; from architectural principle to implementation practice; the Java enterprise context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U2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Software design patterns: creational, structural and behavioural patterns; pattern selection, justification and trade-offs in a working build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U3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Framework-based development: inversion of control and dependency injection; configuration; building within an enterprise framework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U4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Applied persistence: data-access layers; object-relational mapping; transactions within the application build (SQL fluency assumed)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U5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Enterprise build practice: modular construction and integration of components; error handling, logging and configuration management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U6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Continuous integration for enterprise builds: build automation; automated checks in the integration pipeline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lecture hours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66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working language is Java, per the School’s working-languages decision; Spring Boot is the indicatively named framework, confirmed at teaching-plan confirmation.</w:t>
      </w:r>
    </w:p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Sessions run as 3-hour blocks (22 sessions); the laboratory-heavy allocation carries a single evolving application build across Units 2 to 6.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Teaching and Learning Hours (SLQF)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Lectures (fixed)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66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Tutorials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Practicals / Laboratory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In-class assignments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Demonstration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Self-guided study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74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200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5. Assessment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26"/>
        <w:gridCol w:w="2100"/>
        <w:gridCol w:w="1300"/>
        <w:gridCol w:w="8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Learning outcomes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Coursework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Enterprise application build: an individually built, pattern-documented application with persistence layer and continuous-integration evidence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Individual; take-home; Graded; Viva/Presentation: Viva-defence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LO1, LO2, LO3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Coursework (in-class)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Supervised applied exercise under open-resource conditions: pattern implementation and persistence tasks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Individual; in-class; Graded; Viva/Presentation: None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LO1, LO2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40%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examination is carried by design: the assessed capability is applied construction, evidenced through the build and its pipeline; assessment integrity is anchored by the mandatory viva-defence on the build and the supervised in-class component. Weights sum to 100%; weightings are confirmed at specification sign-off. Reassessment is by failed component. Academic-integrity and generative-AI expectations follow School policy; the viva-defence and the continuous-integration history are the authorship evidence on the take-home build.</w:t>
      </w:r>
    </w:p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6. Resources, Staff and Governance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Indicative Reading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Fowler, M., Patterns of Enterprise Application Architecture, Addison-Wesley.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Gamma, E., Helm, R., Johnson, R. and Vlissides, J., Design Patterns: Elements of Reusable Object-Oriented Software, Addison-Wesley.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Walls, C., Spring in Action, 6th edition, Manning (Java- and framework-dependent text; applies if the Spring Boot naming is confirmed at teaching-plan confirmation).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Staffing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 credential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Module leader 1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Module leader 2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External module auditor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Domain-expertise statement: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Taught from enterprise software-development expertise; generic delivery is non-compliant.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Version and Sign-off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13"/>
        <w:gridCol w:w="2413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Amendment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Jul 2026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descriptor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2026-07-20T10:47:49.139Z</dcterms:created>
  <dcterms:modified xsi:type="dcterms:W3CDTF">2026-07-20T10:47:49.151Z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