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Open Sans" w:cs="Open Sans" w:eastAsia="Open Sans" w:hAnsi="Open Sans"/>
          <w:b w:val="false"/>
          <w:bCs w:val="false"/>
          <w:i w:val="false"/>
          <w:iCs w:val="false"/>
          <w:color w:val="595959"/>
          <w:sz w:val="20"/>
          <w:szCs w:val="20"/>
        </w:rPr>
        <w:t xml:space="preserve">Module Descriptor</w:t>
      </w:r>
    </w:p>
    <w:p>
      <w:pPr>
        <w:pBdr>
          <w:bottom w:val="single" w:color="595959" w:sz="12" w:space="4"/>
        </w:pBdr>
        <w:spacing w:after="40"/>
      </w:pPr>
      <w:r>
        <w:rPr>
          <w:rFonts w:ascii="Open Sans" w:cs="Open Sans" w:eastAsia="Open Sans" w:hAnsi="Open Sans"/>
          <w:b/>
          <w:bCs/>
          <w:i w:val="false"/>
          <w:iCs w:val="false"/>
          <w:color w:val="595959"/>
          <w:sz w:val="32"/>
          <w:szCs w:val="32"/>
        </w:rPr>
        <w:t xml:space="preserve">User Experience and Interaction Design</w:t>
      </w:r>
    </w:p>
    <w:p>
      <w:pPr>
        <w:spacing w:after="40" w:before="0"/>
      </w:pPr>
      <w:r>
        <w:rPr>
          <w:rFonts w:ascii="Open Sans" w:cs="Open Sans" w:eastAsia="Open Sans" w:hAnsi="Open Sans"/>
          <w:b/>
          <w:bCs/>
          <w:i w:val="false"/>
          <w:iCs w:val="false"/>
          <w:color w:val="000000"/>
          <w:sz w:val="20"/>
          <w:szCs w:val="20"/>
        </w:rPr>
        <w:t xml:space="preserve">Code: </w:t>
      </w:r>
      <w:r>
        <w:rPr>
          <w:rFonts w:ascii="Open Sans" w:cs="Open Sans" w:eastAsia="Open Sans" w:hAnsi="Open Sans"/>
          <w:b w:val="false"/>
          <w:bCs w:val="false"/>
          <w:i w:val="false"/>
          <w:iCs w:val="false"/>
          <w:color w:val="000000"/>
          <w:sz w:val="20"/>
          <w:szCs w:val="20"/>
        </w:rPr>
        <w:t xml:space="preserve">NB-SOCE-L4-SE-TT-05    </w:t>
      </w:r>
      <w:r>
        <w:rPr>
          <w:rFonts w:ascii="Open Sans" w:cs="Open Sans" w:eastAsia="Open Sans" w:hAnsi="Open Sans"/>
          <w:b/>
          <w:bCs/>
          <w:i w:val="false"/>
          <w:iCs w:val="false"/>
          <w:color w:val="000000"/>
          <w:sz w:val="20"/>
          <w:szCs w:val="20"/>
        </w:rPr>
        <w:t xml:space="preserve">Tier: </w:t>
      </w:r>
      <w:r>
        <w:rPr>
          <w:rFonts w:ascii="Open Sans" w:cs="Open Sans" w:eastAsia="Open Sans" w:hAnsi="Open Sans"/>
          <w:b w:val="false"/>
          <w:bCs w:val="false"/>
          <w:i w:val="false"/>
          <w:iCs w:val="false"/>
          <w:color w:val="000000"/>
          <w:sz w:val="20"/>
          <w:szCs w:val="20"/>
        </w:rPr>
        <w:t xml:space="preserve">Pathway (Software Engineering)    </w:t>
      </w:r>
      <w:r>
        <w:rPr>
          <w:rFonts w:ascii="Open Sans" w:cs="Open Sans" w:eastAsia="Open Sans" w:hAnsi="Open Sans"/>
          <w:b/>
          <w:bCs/>
          <w:i w:val="false"/>
          <w:iCs w:val="false"/>
          <w:color w:val="000000"/>
          <w:sz w:val="20"/>
          <w:szCs w:val="20"/>
        </w:rPr>
        <w:t xml:space="preserve">Type: </w:t>
      </w:r>
      <w:r>
        <w:rPr>
          <w:rFonts w:ascii="Open Sans" w:cs="Open Sans" w:eastAsia="Open Sans" w:hAnsi="Open Sans"/>
          <w:b w:val="false"/>
          <w:bCs w:val="false"/>
          <w:i w:val="false"/>
          <w:iCs w:val="false"/>
          <w:color w:val="000000"/>
          <w:sz w:val="20"/>
          <w:szCs w:val="20"/>
        </w:rPr>
        <w:t xml:space="preserve">Pathway / Taught</w:t>
      </w:r>
    </w:p>
    <w:p>
      <w:pPr>
        <w:spacing w:after="40" w:before="0"/>
      </w:pPr>
      <w:r>
        <w:rPr>
          <w:rFonts w:ascii="Open Sans" w:cs="Open Sans" w:eastAsia="Open Sans" w:hAnsi="Open Sans"/>
          <w:b/>
          <w:bCs/>
          <w:i w:val="false"/>
          <w:iCs w:val="false"/>
          <w:color w:val="000000"/>
          <w:sz w:val="20"/>
          <w:szCs w:val="20"/>
        </w:rPr>
        <w:t xml:space="preserve">Status: </w:t>
      </w:r>
      <w:r>
        <w:rPr>
          <w:rFonts w:ascii="Open Sans" w:cs="Open Sans" w:eastAsia="Open Sans" w:hAnsi="Open Sans"/>
          <w:b w:val="false"/>
          <w:bCs w:val="false"/>
          <w:i w:val="false"/>
          <w:iCs w:val="false"/>
          <w:color w:val="000000"/>
          <w:sz w:val="20"/>
          <w:szCs w:val="20"/>
        </w:rPr>
        <w:t xml:space="preserve">Draft for Review v1.0    </w:t>
      </w:r>
      <w:r>
        <w:rPr>
          <w:rFonts w:ascii="Open Sans" w:cs="Open Sans" w:eastAsia="Open Sans" w:hAnsi="Open Sans"/>
          <w:b/>
          <w:bCs/>
          <w:i w:val="false"/>
          <w:iCs w:val="false"/>
          <w:color w:val="000000"/>
          <w:sz w:val="20"/>
          <w:szCs w:val="20"/>
        </w:rPr>
        <w:t xml:space="preserve">Date: </w:t>
      </w:r>
      <w:r>
        <w:rPr>
          <w:rFonts w:ascii="Open Sans" w:cs="Open Sans" w:eastAsia="Open Sans" w:hAnsi="Open Sans"/>
          <w:b w:val="false"/>
          <w:bCs w:val="false"/>
          <w:i w:val="false"/>
          <w:iCs w:val="false"/>
          <w:color w:val="000000"/>
          <w:sz w:val="20"/>
          <w:szCs w:val="20"/>
        </w:rPr>
        <w:t xml:space="preserve">20 Jul 2026</w:t>
      </w:r>
    </w:p>
    <w:p>
      <w:pPr>
        <w:spacing w:after="200" w:before="0"/>
      </w:pPr>
      <w:r>
        <w:rPr>
          <w:rFonts w:ascii="Open Sans" w:cs="Open Sans" w:eastAsia="Open Sans" w:hAnsi="Open Sans"/>
          <w:b/>
          <w:bCs/>
          <w:i w:val="false"/>
          <w:iCs w:val="false"/>
          <w:color w:val="000000"/>
          <w:sz w:val="20"/>
          <w:szCs w:val="20"/>
        </w:rPr>
        <w:t xml:space="preserve">Sources: </w:t>
      </w:r>
      <w:r>
        <w:rPr>
          <w:rFonts w:ascii="Open Sans" w:cs="Open Sans" w:eastAsia="Open Sans" w:hAnsi="Open Sans"/>
          <w:b w:val="false"/>
          <w:bCs w:val="false"/>
          <w:i w:val="false"/>
          <w:iCs w:val="false"/>
          <w:color w:val="000000"/>
          <w:sz w:val="20"/>
          <w:szCs w:val="20"/>
        </w:rPr>
        <w:t xml:space="preserve">School curriculum decision records; Sri Lanka Qualifications Framework (September 2015, University Grants Commission)</w:t>
      </w:r>
    </w:p>
    <w:p>
      <w:pPr>
        <w:spacing w:after="160" w:before="240"/>
      </w:pPr>
      <w:r>
        <w:rPr>
          <w:rFonts w:ascii="Open Sans" w:cs="Open Sans" w:eastAsia="Open Sans" w:hAnsi="Open Sans"/>
          <w:b/>
          <w:bCs/>
          <w:i w:val="false"/>
          <w:iCs w:val="false"/>
          <w:color w:val="595959"/>
          <w:sz w:val="26"/>
          <w:szCs w:val="26"/>
        </w:rPr>
        <w:t xml:space="preserve">1. Module Identity and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Field</w:t>
            </w:r>
          </w:p>
        </w:tc>
        <w:tc>
          <w:tcPr>
            <w:tcW w:type="dxa" w:w="64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Module code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NB-SOCE-L4-SE-TT-05</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Module title</w:t>
            </w:r>
          </w:p>
        </w:tc>
        <w:tc>
          <w:tcPr>
            <w:tcW w:type="dxa" w:w="64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User Experience and Interaction Design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Scope / type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Pathway: Computer Science with Software Engineering  ·  Pathway / Taught</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SLQF level / credits</w:t>
            </w:r>
          </w:p>
        </w:tc>
        <w:tc>
          <w:tcPr>
            <w:tcW w:type="dxa" w:w="64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Level 4 (Year 2)  ·  3 credits  ·  150 notional hours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Progression targets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NB5001CEM Designing User Experiences: this module supplies the human-computer-interaction method that the Higher National Diploma profile would otherwise lack, alongside the prototyping maturity supplied elsewhere.</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Prerequisites</w:t>
            </w:r>
          </w:p>
        </w:tc>
        <w:tc>
          <w:tcPr>
            <w:tcW w:type="dxa" w:w="64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Software Engineering and Systems Analysis (requirements grounding); Creative Project (prototyping and delivery maturity)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Delivery mode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Session-based: 3-hour blocks; 16 lecture sessions plus tutorials, practicals and demonstration per the hours profile; studio-style practical work</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Hours profile</w:t>
            </w:r>
          </w:p>
        </w:tc>
        <w:tc>
          <w:tcPr>
            <w:tcW w:type="dxa" w:w="64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Taught 3-credit profile</w:t>
            </w:r>
          </w:p>
        </w:tc>
      </w:tr>
    </w:tbl>
    <w:p>
      <w:pPr>
        <w:spacing w:after="160" w:before="240"/>
      </w:pPr>
      <w:r>
        <w:rPr>
          <w:rFonts w:ascii="Open Sans" w:cs="Open Sans" w:eastAsia="Open Sans" w:hAnsi="Open Sans"/>
          <w:b/>
          <w:bCs/>
          <w:i w:val="false"/>
          <w:iCs w:val="false"/>
          <w:color w:val="595959"/>
          <w:sz w:val="26"/>
          <w:szCs w:val="26"/>
        </w:rPr>
        <w:t xml:space="preserve">2. Module Purpose and Aims</w:t>
      </w:r>
    </w:p>
    <w:p>
      <w:pPr>
        <w:spacing w:after="120" w:before="0"/>
      </w:pPr>
      <w:r>
        <w:rPr>
          <w:rFonts w:ascii="Open Sans" w:cs="Open Sans" w:eastAsia="Open Sans" w:hAnsi="Open Sans"/>
          <w:b w:val="false"/>
          <w:bCs w:val="false"/>
          <w:i w:val="false"/>
          <w:iCs w:val="false"/>
          <w:color w:val="000000"/>
          <w:sz w:val="20"/>
          <w:szCs w:val="20"/>
        </w:rPr>
        <w:t xml:space="preserve">The module builds design method for the Software Engineering pathway: the user-centred design process, user research and the derivation of interface requirements, interaction design, prototyping from low to high fidelity, and introductory usability evaluation. It exists because the Higher National Diploma profile otherwise supplies prototyping maturity - through Creative Project - but no human-computer-interaction method; this module supplies the method, so that the degree destination receives students who can research users, design interactions and evaluate usability, not only build.</w:t>
      </w:r>
    </w:p>
    <w:p>
      <w:pPr>
        <w:spacing w:after="120" w:before="0"/>
      </w:pPr>
      <w:r>
        <w:rPr>
          <w:rFonts w:ascii="Open Sans" w:cs="Open Sans" w:eastAsia="Open Sans" w:hAnsi="Open Sans"/>
          <w:b w:val="false"/>
          <w:bCs w:val="false"/>
          <w:i w:val="false"/>
          <w:iCs w:val="false"/>
          <w:color w:val="000000"/>
          <w:sz w:val="20"/>
          <w:szCs w:val="20"/>
        </w:rPr>
        <w:t xml:space="preserve">The scope limit is deliberate and stated in the boundary: this is design method, distinct from web and mobile implementation technology, and advanced usability laboratory technique belongs to the Coventry University destination.</w:t>
      </w:r>
    </w:p>
    <w:p>
      <w:pPr>
        <w:spacing w:after="120" w:before="200"/>
      </w:pPr>
      <w:r>
        <w:rPr>
          <w:rFonts w:ascii="Open Sans" w:cs="Open Sans" w:eastAsia="Open Sans" w:hAnsi="Open Sans"/>
          <w:b/>
          <w:bCs/>
          <w:i w:val="false"/>
          <w:iCs w:val="false"/>
          <w:color w:val="595959"/>
          <w:sz w:val="22"/>
          <w:szCs w:val="22"/>
        </w:rPr>
        <w:t xml:space="preserve">Specification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595959" w:sz="24"/>
              <w:bottom w:val="none"/>
              <w:right w:val="none"/>
            </w:tcBorders>
            <w:shd w:fill="F7F7F7" w:val="clear"/>
            <w:tcMar>
              <w:top w:type="dxa" w:w="120"/>
              <w:left w:type="dxa" w:w="180"/>
              <w:bottom w:type="dxa" w:w="120"/>
              <w:right w:type="dxa" w:w="140"/>
            </w:tcMar>
          </w:tcPr>
          <w:p>
            <w:pPr>
              <w:spacing w:after="80"/>
            </w:pPr>
            <w:r>
              <w:rPr>
                <w:rFonts w:ascii="Open Sans" w:cs="Open Sans" w:eastAsia="Open Sans" w:hAnsi="Open Sans"/>
                <w:b/>
                <w:bCs/>
                <w:i w:val="false"/>
                <w:iCs w:val="false"/>
                <w:color w:val="000000"/>
                <w:sz w:val="20"/>
                <w:szCs w:val="20"/>
              </w:rPr>
              <w:t xml:space="preserve">Covers: </w:t>
            </w:r>
            <w:r>
              <w:rPr>
                <w:rFonts w:ascii="Open Sans" w:cs="Open Sans" w:eastAsia="Open Sans" w:hAnsi="Open Sans"/>
                <w:b w:val="false"/>
                <w:bCs w:val="false"/>
                <w:i w:val="false"/>
                <w:iCs w:val="false"/>
                <w:color w:val="000000"/>
                <w:sz w:val="20"/>
                <w:szCs w:val="20"/>
              </w:rPr>
              <w:t xml:space="preserve">user-centred design process; user research and requirements for interfaces; interaction design; prototyping method (lo- to hi-fidelity); introductory usability evaluation. This is design method, deliberately distinct from web and mobile technology.</w:t>
            </w:r>
          </w:p>
          <w:p>
            <w:pPr>
              <w:spacing w:after="80"/>
            </w:pPr>
            <w:r>
              <w:rPr>
                <w:rFonts w:ascii="Open Sans" w:cs="Open Sans" w:eastAsia="Open Sans" w:hAnsi="Open Sans"/>
                <w:b/>
                <w:bCs/>
                <w:i w:val="false"/>
                <w:iCs w:val="false"/>
                <w:color w:val="000000"/>
                <w:sz w:val="20"/>
                <w:szCs w:val="20"/>
              </w:rPr>
              <w:t xml:space="preserve">Does NOT cover: </w:t>
            </w:r>
            <w:r>
              <w:rPr>
                <w:rFonts w:ascii="Open Sans" w:cs="Open Sans" w:eastAsia="Open Sans" w:hAnsi="Open Sans"/>
                <w:b w:val="false"/>
                <w:bCs w:val="false"/>
                <w:i w:val="false"/>
                <w:iCs w:val="false"/>
                <w:color w:val="000000"/>
                <w:sz w:val="20"/>
                <w:szCs w:val="20"/>
              </w:rPr>
              <w:t xml:space="preserve">web or mobile implementation technology (Web and Cloud Application Development; Mobile Application Development I); advanced usability laboratory technique (NB5001CEM at Coventry University).</w:t>
            </w:r>
          </w:p>
          <w:p>
            <w:pPr>
              <w:spacing w:after="80"/>
            </w:pPr>
            <w:r>
              <w:rPr>
                <w:rFonts w:ascii="Open Sans" w:cs="Open Sans" w:eastAsia="Open Sans" w:hAnsi="Open Sans"/>
                <w:b/>
                <w:bCs/>
                <w:i w:val="false"/>
                <w:iCs w:val="false"/>
                <w:color w:val="000000"/>
                <w:sz w:val="20"/>
                <w:szCs w:val="20"/>
              </w:rPr>
              <w:t xml:space="preserve"/>
            </w:r>
            <w:r>
              <w:rPr>
                <w:rFonts w:ascii="Open Sans" w:cs="Open Sans" w:eastAsia="Open Sans" w:hAnsi="Open Sans"/>
                <w:b w:val="false"/>
                <w:bCs w:val="false"/>
                <w:i/>
                <w:iCs/>
                <w:color w:val="000000"/>
                <w:sz w:val="20"/>
                <w:szCs w:val="20"/>
              </w:rPr>
              <w:t xml:space="preserve">Changes to this boundary are made only through the School’s formal change-control process.</w:t>
            </w:r>
          </w:p>
        </w:tc>
      </w:tr>
    </w:tbl>
    <w:p>
      <w:pPr>
        <w:spacing w:after="160" w:before="240"/>
      </w:pPr>
      <w:r>
        <w:rPr>
          <w:rFonts w:ascii="Open Sans" w:cs="Open Sans" w:eastAsia="Open Sans" w:hAnsi="Open Sans"/>
          <w:b/>
          <w:bCs/>
          <w:i w:val="false"/>
          <w:iCs w:val="false"/>
          <w:color w:val="595959"/>
          <w:sz w:val="26"/>
          <w:szCs w:val="26"/>
        </w:rPr>
        <w:t xml:space="preserve">3. Learning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2400"/>
      </w:tblGrid>
      <w:tr>
        <w:tc>
          <w:tcPr>
            <w:tcW w:type="dxa" w:w="8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Ref</w:t>
            </w:r>
          </w:p>
        </w:tc>
        <w:tc>
          <w:tcPr>
            <w:tcW w:type="dxa" w:w="58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Intended Learning Outcome</w:t>
            </w:r>
          </w:p>
        </w:tc>
        <w:tc>
          <w:tcPr>
            <w:tcW w:type="dxa" w:w="24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Cognitive level</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LO1</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Plan and conduct user research, deriving interface requirements from its findings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Apply</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LO2</w:t>
            </w:r>
          </w:p>
        </w:tc>
        <w:tc>
          <w:tcPr>
            <w:tcW w:type="dxa" w:w="58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Produce and iterate interface prototypes from low to high fidelity in response to feedback</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Apply</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LO3</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Conduct an introductory usability evaluation and analyse its findings into design recommendations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Analyse / Apply</w:t>
            </w:r>
          </w:p>
        </w:tc>
      </w:tr>
    </w:tbl>
    <w:p>
      <w:pPr>
        <w:spacing w:after="160" w:before="240"/>
      </w:pPr>
      <w:r>
        <w:rPr>
          <w:rFonts w:ascii="Open Sans" w:cs="Open Sans" w:eastAsia="Open Sans" w:hAnsi="Open Sans"/>
          <w:b/>
          <w:bCs/>
          <w:i w:val="false"/>
          <w:iCs w:val="false"/>
          <w:color w:val="595959"/>
          <w:sz w:val="26"/>
          <w:szCs w:val="26"/>
        </w:rPr>
        <w:t xml:space="preserve">4. Curriculum and Delivery</w:t>
      </w:r>
    </w:p>
    <w:p>
      <w:pPr>
        <w:spacing w:after="120" w:before="200"/>
      </w:pPr>
      <w:r>
        <w:rPr>
          <w:rFonts w:ascii="Open Sans" w:cs="Open Sans" w:eastAsia="Open Sans" w:hAnsi="Open Sans"/>
          <w:b/>
          <w:bCs/>
          <w:i w:val="false"/>
          <w:iCs w:val="false"/>
          <w:color w:val="595959"/>
          <w:sz w:val="22"/>
          <w:szCs w:val="22"/>
        </w:rPr>
        <w:t xml:space="preserve">Indicative Syllabus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826"/>
        <w:gridCol w:w="1400"/>
      </w:tblGrid>
      <w:tr>
        <w:tc>
          <w:tcPr>
            <w:tcW w:type="dxa" w:w="8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Unit</w:t>
            </w:r>
          </w:p>
        </w:tc>
        <w:tc>
          <w:tcPr>
            <w:tcW w:type="dxa" w:w="68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Content</w:t>
            </w:r>
          </w:p>
        </w:tc>
        <w:tc>
          <w:tcPr>
            <w:tcW w:type="dxa" w:w="14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Lecture hours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U1</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The user-centred design process: principles; process models; where design method sits in the development lifecycle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U2</w:t>
            </w:r>
          </w:p>
        </w:tc>
        <w:tc>
          <w:tcPr>
            <w:tcW w:type="dxa" w:w="68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User research: interview and observation methods; personas and scenarios; deriving interface requirements from findings</w:t>
            </w:r>
          </w:p>
        </w:tc>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9</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U3</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Interaction design: interaction patterns; information architecture; navigation and task flow</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9</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U4</w:t>
            </w:r>
          </w:p>
        </w:tc>
        <w:tc>
          <w:tcPr>
            <w:tcW w:type="dxa" w:w="68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Prototyping method: low-fidelity sketching and wireframes; high-fidelity interactive prototypes; iterating on feedback</w:t>
            </w:r>
          </w:p>
        </w:tc>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12</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U5</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Introductory usability evaluation: heuristic evaluation; planning and running simple user tests; analysing and reporting findings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12</w:t>
            </w:r>
          </w:p>
        </w:tc>
      </w:tr>
      <w:tr>
        <w:tc>
          <w:tcPr>
            <w:tcW w:type="dxa" w:w="8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
            </w:r>
          </w:p>
        </w:tc>
        <w:tc>
          <w:tcPr>
            <w:tcW w:type="dxa" w:w="6826"/>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Total lecture hours</w:t>
            </w:r>
          </w:p>
        </w:tc>
        <w:tc>
          <w:tcPr>
            <w:tcW w:type="dxa" w:w="14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48</w:t>
            </w:r>
          </w:p>
        </w:tc>
      </w:tr>
    </w:tbl>
    <w:p>
      <w:pPr>
        <w:spacing w:after="120" w:before="120"/>
      </w:pPr>
      <w:r>
        <w:rPr>
          <w:rFonts w:ascii="Open Sans" w:cs="Open Sans" w:eastAsia="Open Sans" w:hAnsi="Open Sans"/>
          <w:b w:val="false"/>
          <w:bCs w:val="false"/>
          <w:i w:val="false"/>
          <w:iCs w:val="false"/>
          <w:color w:val="000000"/>
          <w:sz w:val="20"/>
          <w:szCs w:val="20"/>
        </w:rPr>
        <w:t xml:space="preserve">Sessions run as 3-hour blocks (16 sessions); the practical allocation runs studio-style, carrying one design case from research through prototype to evaluation. Prototyping tooling is design-tool based, not implementation technology, holding the boundary.</w:t>
      </w:r>
    </w:p>
    <w:p>
      <w:pPr>
        <w:spacing w:after="120" w:before="200"/>
      </w:pPr>
      <w:r>
        <w:rPr>
          <w:rFonts w:ascii="Open Sans" w:cs="Open Sans" w:eastAsia="Open Sans" w:hAnsi="Open Sans"/>
          <w:b/>
          <w:bCs/>
          <w:i w:val="false"/>
          <w:iCs w:val="false"/>
          <w:color w:val="595959"/>
          <w:sz w:val="22"/>
          <w:szCs w:val="22"/>
        </w:rPr>
        <w:t xml:space="preserve">Teaching and Learning Hours (SLQF)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626"/>
        <w:gridCol w:w="2400"/>
      </w:tblGrid>
      <w:tr>
        <w:tc>
          <w:tcPr>
            <w:tcW w:type="dxa" w:w="66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Component</w:t>
            </w:r>
          </w:p>
        </w:tc>
        <w:tc>
          <w:tcPr>
            <w:tcW w:type="dxa" w:w="24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Hours</w:t>
            </w:r>
          </w:p>
        </w:tc>
      </w:tr>
      <w:tr>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Lectures (fixed)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48</w:t>
            </w:r>
          </w:p>
        </w:tc>
      </w:tr>
      <w:tr>
        <w:tc>
          <w:tcPr>
            <w:tcW w:type="dxa" w:w="66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Tutorials</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12</w:t>
            </w:r>
          </w:p>
        </w:tc>
      </w:tr>
      <w:tr>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Practicals / Laboratory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24</w:t>
            </w:r>
          </w:p>
        </w:tc>
      </w:tr>
      <w:tr>
        <w:tc>
          <w:tcPr>
            <w:tcW w:type="dxa" w:w="66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In-class assignments</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9</w:t>
            </w:r>
          </w:p>
        </w:tc>
      </w:tr>
      <w:tr>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Demonstration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3</w:t>
            </w:r>
          </w:p>
        </w:tc>
      </w:tr>
      <w:tr>
        <w:tc>
          <w:tcPr>
            <w:tcW w:type="dxa" w:w="66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Self-guided study</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54</w:t>
            </w:r>
          </w:p>
        </w:tc>
      </w:tr>
      <w:tr>
        <w:tc>
          <w:tcPr>
            <w:tcW w:type="dxa" w:w="6626"/>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Total</w:t>
            </w:r>
          </w:p>
        </w:tc>
        <w:tc>
          <w:tcPr>
            <w:tcW w:type="dxa" w:w="24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150</w:t>
            </w:r>
          </w:p>
        </w:tc>
      </w:tr>
    </w:tbl>
    <w:p>
      <w:pPr>
        <w:spacing w:after="160" w:before="240"/>
      </w:pPr>
      <w:r>
        <w:rPr>
          <w:rFonts w:ascii="Open Sans" w:cs="Open Sans" w:eastAsia="Open Sans" w:hAnsi="Open Sans"/>
          <w:b/>
          <w:bCs/>
          <w:i w:val="false"/>
          <w:iCs w:val="false"/>
          <w:color w:val="595959"/>
          <w:sz w:val="26"/>
          <w:szCs w:val="26"/>
        </w:rPr>
        <w:t xml:space="preserve">5.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26"/>
        <w:gridCol w:w="2100"/>
        <w:gridCol w:w="1300"/>
        <w:gridCol w:w="800"/>
      </w:tblGrid>
      <w:tr>
        <w:tc>
          <w:tcPr>
            <w:tcW w:type="dxa" w:w="15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Component</w:t>
            </w:r>
          </w:p>
        </w:tc>
        <w:tc>
          <w:tcPr>
            <w:tcW w:type="dxa" w:w="33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Task</w:t>
            </w:r>
          </w:p>
        </w:tc>
        <w:tc>
          <w:tcPr>
            <w:tcW w:type="dxa" w:w="21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Conditions</w:t>
            </w:r>
          </w:p>
        </w:tc>
        <w:tc>
          <w:tcPr>
            <w:tcW w:type="dxa" w:w="13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Learning outcomes</w:t>
            </w:r>
          </w:p>
        </w:tc>
        <w:tc>
          <w:tcPr>
            <w:tcW w:type="dxa" w:w="8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Weight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Coursework</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Design portfolio: user-research summary with derived requirements, an iterated prototype (low to high fidelity), and a usability evaluation report with design recommendations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Individual; take-home; Graded; Viva/Presentation: Presentation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LO1, LO2, LO3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70%</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Coursework (in-class)</w:t>
            </w:r>
          </w:p>
        </w:tc>
        <w:tc>
          <w:tcPr>
            <w:tcW w:type="dxa" w:w="33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Supervised design exercise under open-resource conditions: a timed heuristic evaluation of a supplied interface</w:t>
            </w:r>
          </w:p>
        </w:tc>
        <w:tc>
          <w:tcPr>
            <w:tcW w:type="dxa" w:w="2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Individual; in-class; Graded; Viva/Presentation: None</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LO3</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30%</w:t>
            </w:r>
          </w:p>
        </w:tc>
      </w:tr>
    </w:tbl>
    <w:p>
      <w:pPr>
        <w:spacing w:after="120" w:before="120"/>
      </w:pPr>
      <w:r>
        <w:rPr>
          <w:rFonts w:ascii="Open Sans" w:cs="Open Sans" w:eastAsia="Open Sans" w:hAnsi="Open Sans"/>
          <w:b w:val="false"/>
          <w:bCs w:val="false"/>
          <w:i w:val="false"/>
          <w:iCs w:val="false"/>
          <w:color w:val="000000"/>
          <w:sz w:val="20"/>
          <w:szCs w:val="20"/>
        </w:rPr>
        <w:t xml:space="preserve">No examination is carried by design: the assessed capability is design method demonstrated through the researched, prototyped and evaluated portfolio; the presentation of the portfolio and the supervised in-class evaluation anchor integrity and authorship. Weights sum to 100%; weightings are confirmed at specification sign-off. Reassessment is by failed component. Academic-integrity and generative-AI expectations follow School policy.</w:t>
      </w:r>
    </w:p>
    <w:p>
      <w:pPr>
        <w:spacing w:after="160" w:before="240"/>
      </w:pPr>
      <w:r>
        <w:rPr>
          <w:rFonts w:ascii="Open Sans" w:cs="Open Sans" w:eastAsia="Open Sans" w:hAnsi="Open Sans"/>
          <w:b/>
          <w:bCs/>
          <w:i w:val="false"/>
          <w:iCs w:val="false"/>
          <w:color w:val="595959"/>
          <w:sz w:val="26"/>
          <w:szCs w:val="26"/>
        </w:rPr>
        <w:t xml:space="preserve">6. Resources, Staff and Governance</w:t>
      </w:r>
    </w:p>
    <w:p>
      <w:pPr>
        <w:spacing w:after="120" w:before="200"/>
      </w:pPr>
      <w:r>
        <w:rPr>
          <w:rFonts w:ascii="Open Sans" w:cs="Open Sans" w:eastAsia="Open Sans" w:hAnsi="Open Sans"/>
          <w:b/>
          <w:bCs/>
          <w:i w:val="false"/>
          <w:iCs w:val="false"/>
          <w:color w:val="595959"/>
          <w:sz w:val="22"/>
          <w:szCs w:val="22"/>
        </w:rPr>
        <w:t xml:space="preserve">Indicative Reading</w:t>
      </w:r>
    </w:p>
    <w:p>
      <w:pPr>
        <w:spacing w:after="60"/>
        <w:ind w:left="360" w:hanging="200"/>
      </w:pPr>
      <w:r>
        <w:rPr>
          <w:rFonts w:ascii="Open Sans" w:cs="Open Sans" w:eastAsia="Open Sans" w:hAnsi="Open Sans"/>
          <w:b w:val="false"/>
          <w:bCs w:val="false"/>
          <w:i w:val="false"/>
          <w:iCs w:val="false"/>
          <w:color w:val="000000"/>
          <w:sz w:val="20"/>
          <w:szCs w:val="20"/>
        </w:rPr>
        <w:t xml:space="preserve">–  Sharp, H., Preece, J. and Rogers, Y., Interaction Design: Beyond Human-Computer Interaction, 6th edition, Wiley.</w:t>
      </w:r>
    </w:p>
    <w:p>
      <w:pPr>
        <w:spacing w:after="60"/>
        <w:ind w:left="360" w:hanging="200"/>
      </w:pPr>
      <w:r>
        <w:rPr>
          <w:rFonts w:ascii="Open Sans" w:cs="Open Sans" w:eastAsia="Open Sans" w:hAnsi="Open Sans"/>
          <w:b w:val="false"/>
          <w:bCs w:val="false"/>
          <w:i w:val="false"/>
          <w:iCs w:val="false"/>
          <w:color w:val="000000"/>
          <w:sz w:val="20"/>
          <w:szCs w:val="20"/>
        </w:rPr>
        <w:t xml:space="preserve">–  Norman, D., The Design of Everyday Things, revised and expanded edition, Basic Books.</w:t>
      </w:r>
    </w:p>
    <w:p>
      <w:pPr>
        <w:spacing w:after="60"/>
        <w:ind w:left="360" w:hanging="200"/>
      </w:pPr>
      <w:r>
        <w:rPr>
          <w:rFonts w:ascii="Open Sans" w:cs="Open Sans" w:eastAsia="Open Sans" w:hAnsi="Open Sans"/>
          <w:b w:val="false"/>
          <w:bCs w:val="false"/>
          <w:i w:val="false"/>
          <w:iCs w:val="false"/>
          <w:color w:val="000000"/>
          <w:sz w:val="20"/>
          <w:szCs w:val="20"/>
        </w:rPr>
        <w:t xml:space="preserve">–  Krug, S., Don’t Make Me Think, Revisited: A Common Sense Approach to Web Usability, New Riders.</w:t>
      </w:r>
    </w:p>
    <w:p>
      <w:pPr>
        <w:spacing w:after="120" w:before="200"/>
      </w:pPr>
      <w:r>
        <w:rPr>
          <w:rFonts w:ascii="Open Sans" w:cs="Open Sans" w:eastAsia="Open Sans" w:hAnsi="Open Sans"/>
          <w:b/>
          <w:bCs/>
          <w:i w:val="false"/>
          <w:iCs w:val="false"/>
          <w:color w:val="595959"/>
          <w:sz w:val="22"/>
          <w:szCs w:val="22"/>
        </w:rPr>
        <w:t xml:space="preserve">Staffing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Role</w:t>
            </w:r>
          </w:p>
        </w:tc>
        <w:tc>
          <w:tcPr>
            <w:tcW w:type="dxa" w:w="3013"/>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Name</w:t>
            </w:r>
          </w:p>
        </w:tc>
        <w:tc>
          <w:tcPr>
            <w:tcW w:type="dxa" w:w="3013"/>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Domain credential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Module leader 1</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Module leader 2</w:t>
            </w:r>
          </w:p>
        </w:tc>
        <w:tc>
          <w:tcPr>
            <w:tcW w:type="dxa" w:w="301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c>
          <w:tcPr>
            <w:tcW w:type="dxa" w:w="301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External module auditor</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bl>
    <w:p>
      <w:pPr>
        <w:spacing w:after="120" w:before="120"/>
      </w:pPr>
      <w:r>
        <w:rPr>
          <w:rFonts w:ascii="Open Sans" w:cs="Open Sans" w:eastAsia="Open Sans" w:hAnsi="Open Sans"/>
          <w:b/>
          <w:bCs/>
          <w:i w:val="false"/>
          <w:iCs w:val="false"/>
          <w:color w:val="000000"/>
          <w:sz w:val="20"/>
          <w:szCs w:val="20"/>
        </w:rPr>
        <w:t xml:space="preserve">Domain-expertise statement: </w:t>
      </w:r>
      <w:r>
        <w:rPr>
          <w:rFonts w:ascii="Open Sans" w:cs="Open Sans" w:eastAsia="Open Sans" w:hAnsi="Open Sans"/>
          <w:b w:val="false"/>
          <w:bCs w:val="false"/>
          <w:i w:val="false"/>
          <w:iCs w:val="false"/>
          <w:color w:val="000000"/>
          <w:sz w:val="20"/>
          <w:szCs w:val="20"/>
        </w:rPr>
        <w:t xml:space="preserve">Taught from HCI and interaction-design expertise; generic delivery is non-compliant.</w:t>
      </w:r>
    </w:p>
    <w:p>
      <w:pPr>
        <w:spacing w:after="120" w:before="200"/>
      </w:pPr>
      <w:r>
        <w:rPr>
          <w:rFonts w:ascii="Open Sans" w:cs="Open Sans" w:eastAsia="Open Sans" w:hAnsi="Open Sans"/>
          <w:b/>
          <w:bCs/>
          <w:i w:val="false"/>
          <w:iCs w:val="false"/>
          <w:color w:val="595959"/>
          <w:sz w:val="22"/>
          <w:szCs w:val="22"/>
        </w:rPr>
        <w:t xml:space="preserve">Version and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613"/>
        <w:gridCol w:w="2413"/>
      </w:tblGrid>
      <w:tr>
        <w:tc>
          <w:tcPr>
            <w:tcW w:type="dxa" w:w="12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Version</w:t>
            </w:r>
          </w:p>
        </w:tc>
        <w:tc>
          <w:tcPr>
            <w:tcW w:type="dxa" w:w="18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Date</w:t>
            </w:r>
          </w:p>
        </w:tc>
        <w:tc>
          <w:tcPr>
            <w:tcW w:type="dxa" w:w="3613"/>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Amendment</w:t>
            </w:r>
          </w:p>
        </w:tc>
        <w:tc>
          <w:tcPr>
            <w:tcW w:type="dxa" w:w="2413"/>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Approved by</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20 Jul 2026</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Initial descriptor</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2026-07-20T10:55:44.709Z</dcterms:created>
  <dcterms:modified xsi:type="dcterms:W3CDTF">2026-07-20T10:55:44.709Z</dcterms:modified>
</cp:coreProperties>
</file>

<file path=docProps/custom.xml><?xml version="1.0" encoding="utf-8"?>
<Properties xmlns="http://schemas.openxmlformats.org/officeDocument/2006/custom-properties" xmlns:vt="http://schemas.openxmlformats.org/officeDocument/2006/docPropsVTypes"/>
</file>