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Open Sans" w:cs="Open Sans" w:eastAsia="Open Sans" w:hAnsi="Open Sans"/>
          <w:b w:val="false"/>
          <w:bCs w:val="false"/>
          <w:i w:val="false"/>
          <w:iCs w:val="false"/>
          <w:color w:val="595959"/>
          <w:sz w:val="20"/>
          <w:szCs w:val="20"/>
        </w:rPr>
        <w:t xml:space="preserve">Module Descriptor</w:t>
      </w:r>
    </w:p>
    <w:p>
      <w:pPr>
        <w:pBdr>
          <w:bottom w:val="single" w:color="595959" w:sz="12" w:space="4"/>
        </w:pBdr>
        <w:spacing w:after="40"/>
      </w:pPr>
      <w:r>
        <w:rPr>
          <w:rFonts w:ascii="Open Sans" w:cs="Open Sans" w:eastAsia="Open Sans" w:hAnsi="Open Sans"/>
          <w:b/>
          <w:bCs/>
          <w:i w:val="false"/>
          <w:iCs w:val="false"/>
          <w:color w:val="595959"/>
          <w:sz w:val="32"/>
          <w:szCs w:val="32"/>
        </w:rPr>
        <w:t xml:space="preserve">IoT Application Development</w:t>
      </w:r>
    </w:p>
    <w:p>
      <w:pPr>
        <w:spacing w:after="40" w:before="0"/>
      </w:pPr>
      <w:r>
        <w:rPr>
          <w:rFonts w:ascii="Open Sans" w:cs="Open Sans" w:eastAsia="Open Sans" w:hAnsi="Open Sans"/>
          <w:b/>
          <w:bCs/>
          <w:i w:val="false"/>
          <w:iCs w:val="false"/>
          <w:color w:val="000000"/>
          <w:sz w:val="20"/>
          <w:szCs w:val="20"/>
        </w:rPr>
        <w:t xml:space="preserve">Code: </w:t>
      </w:r>
      <w:r>
        <w:rPr>
          <w:rFonts w:ascii="Open Sans" w:cs="Open Sans" w:eastAsia="Open Sans" w:hAnsi="Open Sans"/>
          <w:b w:val="false"/>
          <w:bCs w:val="false"/>
          <w:i w:val="false"/>
          <w:iCs w:val="false"/>
          <w:color w:val="000000"/>
          <w:sz w:val="20"/>
          <w:szCs w:val="20"/>
        </w:rPr>
        <w:t xml:space="preserve">NB-SOCE-L4-SE-TT-06    </w:t>
      </w:r>
      <w:r>
        <w:rPr>
          <w:rFonts w:ascii="Open Sans" w:cs="Open Sans" w:eastAsia="Open Sans" w:hAnsi="Open Sans"/>
          <w:b/>
          <w:bCs/>
          <w:i w:val="false"/>
          <w:iCs w:val="false"/>
          <w:color w:val="000000"/>
          <w:sz w:val="20"/>
          <w:szCs w:val="20"/>
        </w:rPr>
        <w:t xml:space="preserve">Tier: </w:t>
      </w:r>
      <w:r>
        <w:rPr>
          <w:rFonts w:ascii="Open Sans" w:cs="Open Sans" w:eastAsia="Open Sans" w:hAnsi="Open Sans"/>
          <w:b w:val="false"/>
          <w:bCs w:val="false"/>
          <w:i w:val="false"/>
          <w:iCs w:val="false"/>
          <w:color w:val="000000"/>
          <w:sz w:val="20"/>
          <w:szCs w:val="20"/>
        </w:rPr>
        <w:t xml:space="preserve">Pathway (Software Engineering)    </w:t>
      </w:r>
      <w:r>
        <w:rPr>
          <w:rFonts w:ascii="Open Sans" w:cs="Open Sans" w:eastAsia="Open Sans" w:hAnsi="Open Sans"/>
          <w:b/>
          <w:bCs/>
          <w:i w:val="false"/>
          <w:iCs w:val="false"/>
          <w:color w:val="000000"/>
          <w:sz w:val="20"/>
          <w:szCs w:val="20"/>
        </w:rPr>
        <w:t xml:space="preserve">Type: </w:t>
      </w:r>
      <w:r>
        <w:rPr>
          <w:rFonts w:ascii="Open Sans" w:cs="Open Sans" w:eastAsia="Open Sans" w:hAnsi="Open Sans"/>
          <w:b w:val="false"/>
          <w:bCs w:val="false"/>
          <w:i w:val="false"/>
          <w:iCs w:val="false"/>
          <w:color w:val="000000"/>
          <w:sz w:val="20"/>
          <w:szCs w:val="20"/>
        </w:rPr>
        <w:t xml:space="preserve">Pathway / Taught</w:t>
      </w:r>
    </w:p>
    <w:p>
      <w:pPr>
        <w:spacing w:after="40" w:before="0"/>
      </w:pPr>
      <w:r>
        <w:rPr>
          <w:rFonts w:ascii="Open Sans" w:cs="Open Sans" w:eastAsia="Open Sans" w:hAnsi="Open Sans"/>
          <w:b/>
          <w:bCs/>
          <w:i w:val="false"/>
          <w:iCs w:val="false"/>
          <w:color w:val="000000"/>
          <w:sz w:val="20"/>
          <w:szCs w:val="20"/>
        </w:rPr>
        <w:t xml:space="preserve">Status: </w:t>
      </w:r>
      <w:r>
        <w:rPr>
          <w:rFonts w:ascii="Open Sans" w:cs="Open Sans" w:eastAsia="Open Sans" w:hAnsi="Open Sans"/>
          <w:b w:val="false"/>
          <w:bCs w:val="false"/>
          <w:i w:val="false"/>
          <w:iCs w:val="false"/>
          <w:color w:val="000000"/>
          <w:sz w:val="20"/>
          <w:szCs w:val="20"/>
        </w:rPr>
        <w:t xml:space="preserve">Draft for Review v1.0    </w:t>
      </w:r>
      <w:r>
        <w:rPr>
          <w:rFonts w:ascii="Open Sans" w:cs="Open Sans" w:eastAsia="Open Sans" w:hAnsi="Open Sans"/>
          <w:b/>
          <w:bCs/>
          <w:i w:val="false"/>
          <w:iCs w:val="false"/>
          <w:color w:val="000000"/>
          <w:sz w:val="20"/>
          <w:szCs w:val="20"/>
        </w:rPr>
        <w:t xml:space="preserve">Date: </w:t>
      </w:r>
      <w:r>
        <w:rPr>
          <w:rFonts w:ascii="Open Sans" w:cs="Open Sans" w:eastAsia="Open Sans" w:hAnsi="Open Sans"/>
          <w:b w:val="false"/>
          <w:bCs w:val="false"/>
          <w:i w:val="false"/>
          <w:iCs w:val="false"/>
          <w:color w:val="000000"/>
          <w:sz w:val="20"/>
          <w:szCs w:val="20"/>
        </w:rPr>
        <w:t xml:space="preserve">20 Jul 2026</w:t>
      </w:r>
    </w:p>
    <w:p>
      <w:pPr>
        <w:spacing w:after="200" w:before="0"/>
      </w:pPr>
      <w:r>
        <w:rPr>
          <w:rFonts w:ascii="Open Sans" w:cs="Open Sans" w:eastAsia="Open Sans" w:hAnsi="Open Sans"/>
          <w:b/>
          <w:bCs/>
          <w:i w:val="false"/>
          <w:iCs w:val="false"/>
          <w:color w:val="000000"/>
          <w:sz w:val="20"/>
          <w:szCs w:val="20"/>
        </w:rPr>
        <w:t xml:space="preserve">Sources: </w:t>
      </w:r>
      <w:r>
        <w:rPr>
          <w:rFonts w:ascii="Open Sans" w:cs="Open Sans" w:eastAsia="Open Sans" w:hAnsi="Open Sans"/>
          <w:b w:val="false"/>
          <w:bCs w:val="false"/>
          <w:i w:val="false"/>
          <w:iCs w:val="false"/>
          <w:color w:val="000000"/>
          <w:sz w:val="20"/>
          <w:szCs w:val="20"/>
        </w:rPr>
        <w:t xml:space="preserve">School curriculum decision records; Sri Lanka Qualifications Framework (September 2015, University Grants Commission)</w:t>
      </w:r>
    </w:p>
    <w:p>
      <w:pPr>
        <w:spacing w:after="160" w:before="240"/>
      </w:pPr>
      <w:r>
        <w:rPr>
          <w:rFonts w:ascii="Open Sans" w:cs="Open Sans" w:eastAsia="Open Sans" w:hAnsi="Open Sans"/>
          <w:b/>
          <w:bCs/>
          <w:i w:val="false"/>
          <w:iCs w:val="false"/>
          <w:color w:val="595959"/>
          <w:sz w:val="26"/>
          <w:szCs w:val="26"/>
        </w:rPr>
        <w:t xml:space="preserve">1. Module Identity and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Field</w:t>
            </w:r>
          </w:p>
        </w:tc>
        <w:tc>
          <w:tcPr>
            <w:tcW w:type="dxa" w:w="64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Value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Module code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NB-SOCE-L4-SE-TT-06</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Module title</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IoT Application Development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Scope / type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Pathway: Computer Science with Software Engineering  ·  Pathway / Taught</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SLQF level / credits</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Level 4 (Year 2)  ·  2 credits  ·  100 notional hours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Progression targets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Contextual connections: NB6007CEM Web API Development (device API design); NB6020CEM Project and Capstone Project (connected-systems themes, supported by the School’s electronics laboratory provision). The module carries the pathway’s connected-systems employability element, scoped to software.</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Prerequisites</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Digital Electronics and Logic Design (hardware literacy beneath the software); Web Application Foundations; Programming Concepts; Data Models and Management Systems (device-data handling)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Delivery mode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Session-based: 3-hour blocks; 10 lecture sessions plus tutorials, practicals and demonstration per the hours profile; laboratory-oriented</w:t>
            </w:r>
          </w:p>
        </w:tc>
      </w:tr>
      <w:tr>
        <w:tc>
          <w:tcPr>
            <w:tcW w:type="dxa" w:w="26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Hours profile</w:t>
            </w:r>
          </w:p>
        </w:tc>
        <w:tc>
          <w:tcPr>
            <w:tcW w:type="dxa" w:w="64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Taught 2-credit profile</w:t>
            </w:r>
          </w:p>
        </w:tc>
      </w:tr>
    </w:tbl>
    <w:p>
      <w:pPr>
        <w:spacing w:after="160" w:before="240"/>
      </w:pPr>
      <w:r>
        <w:rPr>
          <w:rFonts w:ascii="Open Sans" w:cs="Open Sans" w:eastAsia="Open Sans" w:hAnsi="Open Sans"/>
          <w:b/>
          <w:bCs/>
          <w:i w:val="false"/>
          <w:iCs w:val="false"/>
          <w:color w:val="595959"/>
          <w:sz w:val="26"/>
          <w:szCs w:val="26"/>
        </w:rPr>
        <w:t xml:space="preserve">2. Module Purpose and Aims</w:t>
      </w:r>
    </w:p>
    <w:p>
      <w:pPr>
        <w:spacing w:after="120" w:before="0"/>
      </w:pPr>
      <w:r>
        <w:rPr>
          <w:rFonts w:ascii="Open Sans" w:cs="Open Sans" w:eastAsia="Open Sans" w:hAnsi="Open Sans"/>
          <w:b w:val="false"/>
          <w:bCs w:val="false"/>
          <w:i w:val="false"/>
          <w:iCs w:val="false"/>
          <w:color w:val="000000"/>
          <w:sz w:val="20"/>
          <w:szCs w:val="20"/>
        </w:rPr>
        <w:t xml:space="preserve">The module builds connected-device application capability for the Software Engineering pathway: the software backends that devices talk to - device-facing APIs, device-data ingestion and handling, and integration with cloud services. It sits deliberately on the software side of the connected-systems territory, with hardware literacy supplied beneath it by Digital Electronics and Logic Design: foundations common, application pathway.</w:t>
      </w:r>
    </w:p>
    <w:p>
      <w:pPr>
        <w:spacing w:after="120" w:before="0"/>
      </w:pPr>
      <w:r>
        <w:rPr>
          <w:rFonts w:ascii="Open Sans" w:cs="Open Sans" w:eastAsia="Open Sans" w:hAnsi="Open Sans"/>
          <w:b w:val="false"/>
          <w:bCs w:val="false"/>
          <w:i w:val="false"/>
          <w:iCs w:val="false"/>
          <w:color w:val="000000"/>
          <w:sz w:val="20"/>
          <w:szCs w:val="20"/>
        </w:rPr>
        <w:t xml:space="preserve">The 2-credit scope is deliberate: the module holds a genuinely device-specific software core - device-facing APIs, device-data handling, cloud-service consumption - that is too distinct to fold into the web vertical without loss, while cloud territory itself is deepened in Web and Cloud Application Development rather than repeated here. This module consumes cloud services; it does not re-teach cloud delivery.</w:t>
      </w:r>
    </w:p>
    <w:p>
      <w:pPr>
        <w:spacing w:after="120" w:before="200"/>
      </w:pPr>
      <w:r>
        <w:rPr>
          <w:rFonts w:ascii="Open Sans" w:cs="Open Sans" w:eastAsia="Open Sans" w:hAnsi="Open Sans"/>
          <w:b/>
          <w:bCs/>
          <w:i w:val="false"/>
          <w:iCs w:val="false"/>
          <w:color w:val="595959"/>
          <w:sz w:val="22"/>
          <w:szCs w:val="22"/>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595959" w:sz="24"/>
              <w:bottom w:val="none"/>
              <w:right w:val="none"/>
            </w:tcBorders>
            <w:shd w:fill="F7F7F7" w:val="clear"/>
            <w:tcMar>
              <w:top w:type="dxa" w:w="120"/>
              <w:left w:type="dxa" w:w="180"/>
              <w:bottom w:type="dxa" w:w="120"/>
              <w:right w:type="dxa" w:w="140"/>
            </w:tcMar>
          </w:tcPr>
          <w:p>
            <w:pPr>
              <w:spacing w:after="80"/>
            </w:pPr>
            <w:r>
              <w:rPr>
                <w:rFonts w:ascii="Open Sans" w:cs="Open Sans" w:eastAsia="Open Sans" w:hAnsi="Open Sans"/>
                <w:b/>
                <w:bCs/>
                <w:i w:val="false"/>
                <w:iCs w:val="false"/>
                <w:color w:val="000000"/>
                <w:sz w:val="20"/>
                <w:szCs w:val="20"/>
              </w:rPr>
              <w:t xml:space="preserve">Covers: </w:t>
            </w:r>
            <w:r>
              <w:rPr>
                <w:rFonts w:ascii="Open Sans" w:cs="Open Sans" w:eastAsia="Open Sans" w:hAnsi="Open Sans"/>
                <w:b w:val="false"/>
                <w:bCs w:val="false"/>
                <w:i w:val="false"/>
                <w:iCs w:val="false"/>
                <w:color w:val="000000"/>
                <w:sz w:val="20"/>
                <w:szCs w:val="20"/>
              </w:rPr>
              <w:t xml:space="preserve">connected-device application backends; APIs to and from devices; device-data ingestion and handling; integration with cloud services (consuming Web and Cloud Application Development’s territory, not re-teaching it).</w:t>
            </w:r>
          </w:p>
          <w:p>
            <w:pPr>
              <w:spacing w:after="80"/>
            </w:pPr>
            <w:r>
              <w:rPr>
                <w:rFonts w:ascii="Open Sans" w:cs="Open Sans" w:eastAsia="Open Sans" w:hAnsi="Open Sans"/>
                <w:b/>
                <w:bCs/>
                <w:i w:val="false"/>
                <w:iCs w:val="false"/>
                <w:color w:val="000000"/>
                <w:sz w:val="20"/>
                <w:szCs w:val="20"/>
              </w:rPr>
              <w:t xml:space="preserve">Does NOT cover: </w:t>
            </w:r>
            <w:r>
              <w:rPr>
                <w:rFonts w:ascii="Open Sans" w:cs="Open Sans" w:eastAsia="Open Sans" w:hAnsi="Open Sans"/>
                <w:b w:val="false"/>
                <w:bCs w:val="false"/>
                <w:i w:val="false"/>
                <w:iCs w:val="false"/>
                <w:color w:val="000000"/>
                <w:sz w:val="20"/>
                <w:szCs w:val="20"/>
              </w:rPr>
              <w:t xml:space="preserve">electronics and embedded-hardware programming (Digital Electronics and Logic Design owns the foundations; embedded depth remains out of scope); device and network hardware (the Network Engineering and Cybersecurity pathway); cloud deployment mechanics (Web and Cloud Application Development).</w:t>
            </w:r>
          </w:p>
          <w:p>
            <w:pPr>
              <w:spacing w:after="80"/>
            </w:pPr>
            <w:r>
              <w:rPr>
                <w:rFonts w:ascii="Open Sans" w:cs="Open Sans" w:eastAsia="Open Sans" w:hAnsi="Open Sans"/>
                <w:b/>
                <w:bCs/>
                <w:i w:val="false"/>
                <w:iCs w:val="false"/>
                <w:color w:val="000000"/>
                <w:sz w:val="20"/>
                <w:szCs w:val="20"/>
              </w:rPr>
              <w:t xml:space="preserve"/>
            </w:r>
            <w:r>
              <w:rPr>
                <w:rFonts w:ascii="Open Sans" w:cs="Open Sans" w:eastAsia="Open Sans" w:hAnsi="Open Sans"/>
                <w:b w:val="false"/>
                <w:bCs w:val="false"/>
                <w:i/>
                <w:iCs/>
                <w:color w:val="000000"/>
                <w:sz w:val="20"/>
                <w:szCs w:val="20"/>
              </w:rPr>
              <w:t xml:space="preserve">Changes to this boundary are made only through the School’s formal change-control process.</w:t>
            </w:r>
          </w:p>
        </w:tc>
      </w:tr>
    </w:tbl>
    <w:p>
      <w:pPr>
        <w:spacing w:after="160" w:before="240"/>
      </w:pPr>
      <w:r>
        <w:rPr>
          <w:rFonts w:ascii="Open Sans" w:cs="Open Sans" w:eastAsia="Open Sans" w:hAnsi="Open Sans"/>
          <w:b/>
          <w:bCs/>
          <w:i w:val="false"/>
          <w:iCs w:val="false"/>
          <w:color w:val="595959"/>
          <w:sz w:val="26"/>
          <w:szCs w:val="26"/>
        </w:rPr>
        <w:t xml:space="preserve">3. Learning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826"/>
        <w:gridCol w:w="2400"/>
      </w:tblGrid>
      <w:tr>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Ref</w:t>
            </w:r>
          </w:p>
        </w:tc>
        <w:tc>
          <w:tcPr>
            <w:tcW w:type="dxa" w:w="58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Intended Learning Outcome</w:t>
            </w:r>
          </w:p>
        </w:tc>
        <w:tc>
          <w:tcPr>
            <w:tcW w:type="dxa" w:w="2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Cognitive level</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Build a connected-device application backend and its device-facing API</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Apply</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LO2</w:t>
            </w:r>
          </w:p>
        </w:tc>
        <w:tc>
          <w:tcPr>
            <w:tcW w:type="dxa" w:w="5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Ingest, store and process device data, analysing its flow from device to application</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Analyse / Apply</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LO3</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Integrate the device backend with cloud services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Apply</w:t>
            </w:r>
          </w:p>
        </w:tc>
      </w:tr>
    </w:tbl>
    <w:p>
      <w:pPr>
        <w:spacing w:after="160" w:before="240"/>
      </w:pPr>
      <w:r>
        <w:rPr>
          <w:rFonts w:ascii="Open Sans" w:cs="Open Sans" w:eastAsia="Open Sans" w:hAnsi="Open Sans"/>
          <w:b/>
          <w:bCs/>
          <w:i w:val="false"/>
          <w:iCs w:val="false"/>
          <w:color w:val="595959"/>
          <w:sz w:val="26"/>
          <w:szCs w:val="26"/>
        </w:rPr>
        <w:t xml:space="preserve">4. Curriculum and Delivery</w:t>
      </w:r>
    </w:p>
    <w:p>
      <w:pPr>
        <w:spacing w:after="120" w:before="200"/>
      </w:pPr>
      <w:r>
        <w:rPr>
          <w:rFonts w:ascii="Open Sans" w:cs="Open Sans" w:eastAsia="Open Sans" w:hAnsi="Open Sans"/>
          <w:b/>
          <w:bCs/>
          <w:i w:val="false"/>
          <w:iCs w:val="false"/>
          <w:color w:val="595959"/>
          <w:sz w:val="22"/>
          <w:szCs w:val="22"/>
        </w:rPr>
        <w:t xml:space="preserve">Indicative Syllabus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826"/>
        <w:gridCol w:w="1400"/>
      </w:tblGrid>
      <w:tr>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Unit</w:t>
            </w:r>
          </w:p>
        </w:tc>
        <w:tc>
          <w:tcPr>
            <w:tcW w:type="dxa" w:w="68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Content</w:t>
            </w:r>
          </w:p>
        </w:tc>
        <w:tc>
          <w:tcPr>
            <w:tcW w:type="dxa" w:w="1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Lecture hours</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U1</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Connected systems: IoT application architecture; devices, gateways and backends; where the software boundary sits above the hardware foundations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U2</w:t>
            </w:r>
          </w:p>
        </w:tc>
        <w:tc>
          <w:tcPr>
            <w:tcW w:type="dxa" w:w="6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Device-facing APIs: applied protocol awareness (HTTP and MQTT at consumer level); designing APIs to and from devices</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U3</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Device-data ingestion and handling: receiving, validating and storing device data (SQL fluency assumed)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U4</w:t>
            </w:r>
          </w:p>
        </w:tc>
        <w:tc>
          <w:tcPr>
            <w:tcW w:type="dxa" w:w="68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Processing and presenting device data: aggregation over device streams; presenting device state at applied level</w:t>
            </w:r>
          </w:p>
        </w:tc>
        <w:tc>
          <w:tcPr>
            <w:tcW w:type="dxa" w:w="1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U5</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Cloud-service integration: consuming cloud services from the device backend (deployment mechanics owned elsewhere)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8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
            </w:r>
          </w:p>
        </w:tc>
        <w:tc>
          <w:tcPr>
            <w:tcW w:type="dxa" w:w="6826"/>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Total lecture hours</w:t>
            </w:r>
          </w:p>
        </w:tc>
        <w:tc>
          <w:tcPr>
            <w:tcW w:type="dxa" w:w="14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30</w:t>
            </w:r>
          </w:p>
        </w:tc>
      </w:tr>
    </w:tbl>
    <w:p>
      <w:pPr>
        <w:spacing w:after="120" w:before="120"/>
      </w:pPr>
      <w:r>
        <w:rPr>
          <w:rFonts w:ascii="Open Sans" w:cs="Open Sans" w:eastAsia="Open Sans" w:hAnsi="Open Sans"/>
          <w:b w:val="false"/>
          <w:bCs w:val="false"/>
          <w:i w:val="false"/>
          <w:iCs w:val="false"/>
          <w:color w:val="000000"/>
          <w:sz w:val="20"/>
          <w:szCs w:val="20"/>
        </w:rPr>
        <w:t xml:space="preserve">Backend and API work is conducted in JavaScript with Node.js at applied level, per the School’s working-languages decision. Device-side code is not taught.</w:t>
      </w:r>
    </w:p>
    <w:p>
      <w:pPr>
        <w:spacing w:after="120" w:before="120"/>
      </w:pPr>
      <w:r>
        <w:rPr>
          <w:rFonts w:ascii="Open Sans" w:cs="Open Sans" w:eastAsia="Open Sans" w:hAnsi="Open Sans"/>
          <w:b w:val="false"/>
          <w:bCs w:val="false"/>
          <w:i w:val="false"/>
          <w:iCs w:val="false"/>
          <w:color w:val="000000"/>
          <w:sz w:val="20"/>
          <w:szCs w:val="20"/>
        </w:rPr>
        <w:t xml:space="preserve">Sessions run as 3-hour blocks (10 sessions); the practical allocation is laboratory-oriented.</w:t>
      </w:r>
    </w:p>
    <w:p>
      <w:pPr>
        <w:spacing w:after="120" w:before="200"/>
      </w:pPr>
      <w:r>
        <w:rPr>
          <w:rFonts w:ascii="Open Sans" w:cs="Open Sans" w:eastAsia="Open Sans" w:hAnsi="Open Sans"/>
          <w:b/>
          <w:bCs/>
          <w:i w:val="false"/>
          <w:iCs w:val="false"/>
          <w:color w:val="595959"/>
          <w:sz w:val="22"/>
          <w:szCs w:val="22"/>
        </w:rPr>
        <w:t xml:space="preserve">Teaching and Learning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26"/>
        <w:gridCol w:w="2400"/>
      </w:tblGrid>
      <w:tr>
        <w:tc>
          <w:tcPr>
            <w:tcW w:type="dxa" w:w="66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Component</w:t>
            </w:r>
          </w:p>
        </w:tc>
        <w:tc>
          <w:tcPr>
            <w:tcW w:type="dxa" w:w="24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Hours</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Lectures (fixed)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30</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Tutorials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9</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Practicals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12</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In-class assignments</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6</w:t>
            </w:r>
          </w:p>
        </w:tc>
      </w:tr>
      <w:tr>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Demonstration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3</w:t>
            </w:r>
          </w:p>
        </w:tc>
      </w:tr>
      <w:tr>
        <w:tc>
          <w:tcPr>
            <w:tcW w:type="dxa" w:w="66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Self-guided study</w:t>
            </w:r>
          </w:p>
        </w:tc>
        <w:tc>
          <w:tcPr>
            <w:tcW w:type="dxa" w:w="24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40</w:t>
            </w:r>
          </w:p>
        </w:tc>
      </w:tr>
      <w:tr>
        <w:tc>
          <w:tcPr>
            <w:tcW w:type="dxa" w:w="6626"/>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Total</w:t>
            </w:r>
          </w:p>
        </w:tc>
        <w:tc>
          <w:tcPr>
            <w:tcW w:type="dxa" w:w="2400"/>
            <w:tcBorders>
              <w:top w:val="single" w:color="BFBFBF" w:sz="4"/>
              <w:left w:val="single" w:color="BFBFBF" w:sz="4"/>
              <w:bottom w:val="single" w:color="BFBFBF" w:sz="4"/>
              <w:right w:val="single" w:color="BFBFBF" w:sz="4"/>
            </w:tcBorders>
            <w:shd w:fill="D9D9D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000000"/>
                <w:sz w:val="20"/>
                <w:szCs w:val="20"/>
              </w:rPr>
              <w:t xml:space="preserve">100</w:t>
            </w:r>
          </w:p>
        </w:tc>
      </w:tr>
    </w:tbl>
    <w:p>
      <w:pPr>
        <w:spacing w:after="160" w:before="240"/>
      </w:pPr>
      <w:r>
        <w:rPr>
          <w:rFonts w:ascii="Open Sans" w:cs="Open Sans" w:eastAsia="Open Sans" w:hAnsi="Open Sans"/>
          <w:b/>
          <w:bCs/>
          <w:i w:val="false"/>
          <w:iCs w:val="false"/>
          <w:color w:val="595959"/>
          <w:sz w:val="26"/>
          <w:szCs w:val="26"/>
        </w:rPr>
        <w:t xml:space="preserve">5.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26"/>
        <w:gridCol w:w="2100"/>
        <w:gridCol w:w="1300"/>
        <w:gridCol w:w="800"/>
      </w:tblGrid>
      <w:tr>
        <w:tc>
          <w:tcPr>
            <w:tcW w:type="dxa" w:w="15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Component</w:t>
            </w:r>
          </w:p>
        </w:tc>
        <w:tc>
          <w:tcPr>
            <w:tcW w:type="dxa" w:w="3326"/>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Task</w:t>
            </w:r>
          </w:p>
        </w:tc>
        <w:tc>
          <w:tcPr>
            <w:tcW w:type="dxa" w:w="21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Conditions</w:t>
            </w:r>
          </w:p>
        </w:tc>
        <w:tc>
          <w:tcPr>
            <w:tcW w:type="dxa" w:w="13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Learning outcomes</w:t>
            </w:r>
          </w:p>
        </w:tc>
        <w:tc>
          <w:tcPr>
            <w:tcW w:type="dxa" w:w="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Weight</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Coursework</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Working device-backend build: a backend receiving, storing and presenting data from a simulated or kit device, integrated with a cloud service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Individual; take-home; Graded; Viva/Presentation: Presentation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LO1, LO2, LO3</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70%</w:t>
            </w:r>
          </w:p>
        </w:tc>
      </w:tr>
      <w:tr>
        <w:tc>
          <w:tcPr>
            <w:tcW w:type="dxa" w:w="15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Coursework (in-class)</w:t>
            </w:r>
          </w:p>
        </w:tc>
        <w:tc>
          <w:tcPr>
            <w:tcW w:type="dxa" w:w="3326"/>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Supervised applied exercise under open-resource conditions: device-data handling tasks</w:t>
            </w:r>
          </w:p>
        </w:tc>
        <w:tc>
          <w:tcPr>
            <w:tcW w:type="dxa" w:w="21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Individual; in-class; Graded; Viva/Presentation: None</w:t>
            </w:r>
          </w:p>
        </w:tc>
        <w:tc>
          <w:tcPr>
            <w:tcW w:type="dxa" w:w="13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LO2</w:t>
            </w:r>
          </w:p>
        </w:tc>
        <w:tc>
          <w:tcPr>
            <w:tcW w:type="dxa" w:w="8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30%</w:t>
            </w:r>
          </w:p>
        </w:tc>
      </w:tr>
    </w:tbl>
    <w:p>
      <w:pPr>
        <w:spacing w:after="120" w:before="120"/>
      </w:pPr>
      <w:r>
        <w:rPr>
          <w:rFonts w:ascii="Open Sans" w:cs="Open Sans" w:eastAsia="Open Sans" w:hAnsi="Open Sans"/>
          <w:b w:val="false"/>
          <w:bCs w:val="false"/>
          <w:i w:val="false"/>
          <w:iCs w:val="false"/>
          <w:color w:val="000000"/>
          <w:sz w:val="20"/>
          <w:szCs w:val="20"/>
        </w:rPr>
        <w:t xml:space="preserve">No examination is carried by design: at 2 credits the assessed capability is a single coherent applied build, and the presentation of the working backend plus the supervised in-class component anchor integrity and authorship. Weights sum to 100%; weightings are confirmed at specification sign-off. Reassessment is by failed component. Academic-integrity and generative-AI expectations follow School policy.</w:t>
      </w:r>
    </w:p>
    <w:p>
      <w:pPr>
        <w:spacing w:after="160" w:before="240"/>
      </w:pPr>
      <w:r>
        <w:rPr>
          <w:rFonts w:ascii="Open Sans" w:cs="Open Sans" w:eastAsia="Open Sans" w:hAnsi="Open Sans"/>
          <w:b/>
          <w:bCs/>
          <w:i w:val="false"/>
          <w:iCs w:val="false"/>
          <w:color w:val="595959"/>
          <w:sz w:val="26"/>
          <w:szCs w:val="26"/>
        </w:rPr>
        <w:t xml:space="preserve">6. Resources, Staff and Governance</w:t>
      </w:r>
    </w:p>
    <w:p>
      <w:pPr>
        <w:spacing w:after="120" w:before="200"/>
      </w:pPr>
      <w:r>
        <w:rPr>
          <w:rFonts w:ascii="Open Sans" w:cs="Open Sans" w:eastAsia="Open Sans" w:hAnsi="Open Sans"/>
          <w:b/>
          <w:bCs/>
          <w:i w:val="false"/>
          <w:iCs w:val="false"/>
          <w:color w:val="595959"/>
          <w:sz w:val="22"/>
          <w:szCs w:val="22"/>
        </w:rPr>
        <w:t xml:space="preserve">Indicative Reading</w:t>
      </w:r>
    </w:p>
    <w:p>
      <w:pPr>
        <w:spacing w:after="60"/>
        <w:ind w:left="360" w:hanging="200"/>
      </w:pPr>
      <w:r>
        <w:rPr>
          <w:rFonts w:ascii="Open Sans" w:cs="Open Sans" w:eastAsia="Open Sans" w:hAnsi="Open Sans"/>
          <w:b w:val="false"/>
          <w:bCs w:val="false"/>
          <w:i w:val="false"/>
          <w:iCs w:val="false"/>
          <w:color w:val="000000"/>
          <w:sz w:val="20"/>
          <w:szCs w:val="20"/>
        </w:rPr>
        <w:t xml:space="preserve">–  Guinard, D. and Trifa, V., Building the Web of Things, Manning (JavaScript- and Node.js-dependent text).</w:t>
      </w:r>
    </w:p>
    <w:p>
      <w:pPr>
        <w:spacing w:after="60"/>
        <w:ind w:left="360" w:hanging="200"/>
      </w:pPr>
      <w:r>
        <w:rPr>
          <w:rFonts w:ascii="Open Sans" w:cs="Open Sans" w:eastAsia="Open Sans" w:hAnsi="Open Sans"/>
          <w:b w:val="false"/>
          <w:bCs w:val="false"/>
          <w:i w:val="false"/>
          <w:iCs w:val="false"/>
          <w:color w:val="000000"/>
          <w:sz w:val="20"/>
          <w:szCs w:val="20"/>
        </w:rPr>
        <w:t xml:space="preserve">–  McEwen, A. and Cassimally, H., Designing the Internet of Things, Wiley.</w:t>
      </w:r>
    </w:p>
    <w:p>
      <w:pPr>
        <w:spacing w:after="60"/>
        <w:ind w:left="360" w:hanging="200"/>
      </w:pPr>
      <w:r>
        <w:rPr>
          <w:rFonts w:ascii="Open Sans" w:cs="Open Sans" w:eastAsia="Open Sans" w:hAnsi="Open Sans"/>
          <w:b w:val="false"/>
          <w:bCs w:val="false"/>
          <w:i w:val="false"/>
          <w:iCs w:val="false"/>
          <w:color w:val="000000"/>
          <w:sz w:val="20"/>
          <w:szCs w:val="20"/>
        </w:rPr>
        <w:t xml:space="preserve">–  Laboratory kit documentation, named as School-provided material; confirmed at teaching-plan confirmation.</w:t>
      </w:r>
    </w:p>
    <w:p>
      <w:pPr>
        <w:spacing w:after="120" w:before="200"/>
      </w:pPr>
      <w:r>
        <w:rPr>
          <w:rFonts w:ascii="Open Sans" w:cs="Open Sans" w:eastAsia="Open Sans" w:hAnsi="Open Sans"/>
          <w:b/>
          <w:bCs/>
          <w:i w:val="false"/>
          <w:iCs w:val="false"/>
          <w:color w:val="595959"/>
          <w:sz w:val="22"/>
          <w:szCs w:val="22"/>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Role</w:t>
            </w:r>
          </w:p>
        </w:tc>
        <w:tc>
          <w:tcPr>
            <w:tcW w:type="dxa" w:w="30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Name</w:t>
            </w:r>
          </w:p>
        </w:tc>
        <w:tc>
          <w:tcPr>
            <w:tcW w:type="dxa" w:w="30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Domain credential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Module leader 1</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Module leader 2</w:t>
            </w:r>
          </w:p>
        </w:tc>
        <w:tc>
          <w:tcPr>
            <w:tcW w:type="dxa" w:w="301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External module auditor</w:t>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c>
          <w:tcPr>
            <w:tcW w:type="dxa" w:w="30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bl>
    <w:p>
      <w:pPr>
        <w:spacing w:after="120" w:before="120"/>
      </w:pPr>
      <w:r>
        <w:rPr>
          <w:rFonts w:ascii="Open Sans" w:cs="Open Sans" w:eastAsia="Open Sans" w:hAnsi="Open Sans"/>
          <w:b/>
          <w:bCs/>
          <w:i w:val="false"/>
          <w:iCs w:val="false"/>
          <w:color w:val="000000"/>
          <w:sz w:val="20"/>
          <w:szCs w:val="20"/>
        </w:rPr>
        <w:t xml:space="preserve">Domain-expertise statement: </w:t>
      </w:r>
      <w:r>
        <w:rPr>
          <w:rFonts w:ascii="Open Sans" w:cs="Open Sans" w:eastAsia="Open Sans" w:hAnsi="Open Sans"/>
          <w:b w:val="false"/>
          <w:bCs w:val="false"/>
          <w:i w:val="false"/>
          <w:iCs w:val="false"/>
          <w:color w:val="000000"/>
          <w:sz w:val="20"/>
          <w:szCs w:val="20"/>
        </w:rPr>
        <w:t xml:space="preserve">Taught from connected-systems application-development expertise, distinct from infrastructure delivery and from electronics delivery; generic delivery is non-compliant.</w:t>
      </w:r>
    </w:p>
    <w:p>
      <w:pPr>
        <w:spacing w:after="120" w:before="200"/>
      </w:pPr>
      <w:r>
        <w:rPr>
          <w:rFonts w:ascii="Open Sans" w:cs="Open Sans" w:eastAsia="Open Sans" w:hAnsi="Open Sans"/>
          <w:b/>
          <w:bCs/>
          <w:i w:val="false"/>
          <w:iCs w:val="false"/>
          <w:color w:val="595959"/>
          <w:sz w:val="22"/>
          <w:szCs w:val="22"/>
        </w:rPr>
        <w:t xml:space="preserve">Version and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613"/>
        <w:gridCol w:w="2413"/>
      </w:tblGrid>
      <w:tr>
        <w:tc>
          <w:tcPr>
            <w:tcW w:type="dxa" w:w="12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Date</w:t>
            </w:r>
          </w:p>
        </w:tc>
        <w:tc>
          <w:tcPr>
            <w:tcW w:type="dxa" w:w="36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Amendment</w:t>
            </w:r>
          </w:p>
        </w:tc>
        <w:tc>
          <w:tcPr>
            <w:tcW w:type="dxa" w:w="2413"/>
            <w:tcBorders>
              <w:top w:val="single" w:color="BFBFBF" w:sz="4"/>
              <w:left w:val="single" w:color="BFBFBF" w:sz="4"/>
              <w:bottom w:val="single" w:color="BFBFBF" w:sz="4"/>
              <w:right w:val="single" w:color="BFBFBF" w:sz="4"/>
            </w:tcBorders>
            <w:shd w:fill="595959" w:val="clear"/>
            <w:tcMar>
              <w:top w:type="dxa" w:w="60"/>
              <w:left w:type="dxa" w:w="100"/>
              <w:bottom w:type="dxa" w:w="60"/>
              <w:right w:type="dxa" w:w="100"/>
            </w:tcMar>
          </w:tcPr>
          <w:p>
            <w:pPr>
              <w:spacing w:after="0"/>
              <w:jc w:val="left"/>
            </w:pPr>
            <w:r>
              <w:rPr>
                <w:rFonts w:ascii="Open Sans" w:cs="Open Sans" w:eastAsia="Open Sans" w:hAnsi="Open Sans"/>
                <w:b/>
                <w:bCs/>
                <w:i w:val="false"/>
                <w:iCs w:val="false"/>
                <w:color w:val="FFFFFF"/>
                <w:sz w:val="20"/>
                <w:szCs w:val="20"/>
              </w:rPr>
              <w:t xml:space="preserve">Approved by</w:t>
            </w:r>
          </w:p>
        </w:tc>
      </w:tr>
      <w:tr>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20 Jul 2026</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Initial descriptor</w:t>
            </w:r>
          </w:p>
        </w:tc>
        <w:tc>
          <w:tcPr>
            <w:tcW w:type="dxa" w:w="24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jc w:val="left"/>
            </w:pPr>
            <w:r>
              <w:rPr>
                <w:rFonts w:ascii="Open Sans" w:cs="Open Sans" w:eastAsia="Open Sans" w:hAnsi="Open Sans"/>
                <w:b w:val="false"/>
                <w:bCs w:val="false"/>
                <w:i w:val="false"/>
                <w:iCs w:val="false"/>
                <w:color w:val="000000"/>
                <w:sz w:val="20"/>
                <w:szCs w:val="20"/>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2026-07-20T11:03:25.800Z</dcterms:created>
  <dcterms:modified xsi:type="dcterms:W3CDTF">2026-07-20T11:03:25.815Z</dcterms:modified>
</cp:coreProperties>
</file>

<file path=docProps/custom.xml><?xml version="1.0" encoding="utf-8"?>
<Properties xmlns="http://schemas.openxmlformats.org/officeDocument/2006/custom-properties" xmlns:vt="http://schemas.openxmlformats.org/officeDocument/2006/docPropsVTypes"/>
</file>