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Module Descriptor</w:t>
      </w:r>
    </w:p>
    <w:p>
      <w:pPr>
        <w:pBdr>
          <w:bottom w:val="single" w:color="595959" w:sz="12" w:space="4"/>
        </w:pBdr>
        <w:spacing w:after="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32"/>
          <w:szCs w:val="32"/>
        </w:rPr>
        <w:t xml:space="preserve">AI-Enabled Application Development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Code: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NB-SOCE-L4-SE-TT-07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Tier: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(Software Engineering)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Type: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/ Taught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Status: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Draft for Review v1.0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Date: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20 Jul 2026</w:t>
      </w:r>
    </w:p>
    <w:p>
      <w:pPr>
        <w:spacing w:after="20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Sources: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 curriculum decision records; Sri Lanka Qualifications Framework (September 2015, University Grants Commission)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1. Module Identity and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code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NB-SOCE-L4-SE-TT-07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title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AI-Enabled Application Development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Scope / type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Pathway: Computer Science with Software Engineering  ·  Pathway / Taught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SLQF level / credits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4 (Year 2)  ·  3 credits  ·  150 notional hours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Progression targets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Contextual connections: NB6007CEM Web API Development (consuming AI/ML services through APIs), NB6033CEM Mobile Application Development 2 (embedding AI features in applications), NB6020CEM Project (AI-enabled project themes). The module is included to position graduates for AI-augmented software roles.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Programming Concepts; Web and Cloud Application Development (API consumption)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Delivery mode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Session-based: 3-hour blocks; 16 lecture sessions plus tutorials, practicals and demonstration per the hours profile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Hours profile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Taught 3-credit profile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2. Module Purpose and Aims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module positions Software Engineering graduates for AI-augmented software roles: integrating AI and machine-learning capabilities into applications by consuming services and APIs, embedding pre-built models, designing application features around probabilistic outputs, and practising AI-assisted development responsibly.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module sits firmly on the use side of the use-not-build axis, and holds that discipline deliberately: no model building, no model training, no machine-learning theory - the depth owner of model building and training is the Artificial Intelligence and Data Science pathway. Every unit of this module is application-side.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Specification Boundary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595959" w:sz="24"/>
              <w:bottom w:val="none"/>
              <w:right w:val="none"/>
            </w:tcBorders>
            <w:shd w:fill="F7F7F7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Covers: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integrating AI and machine-learning capabilities into applications; consuming AI/ML services and APIs; embedding pre-built models; AI-assisted development practice. This is AI use, on the use-not-build axis.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Does NOT cover: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building, training or theorising machine-learning models (the Artificial Intelligence and Data Science pathway’s territory).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Open Sans" w:cs="Open Sans" w:eastAsia="Open Sans" w:hAnsi="Open San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Changes to this boundary are made only through the School’s formal change-control process.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3. Learning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26"/>
        <w:gridCol w:w="2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Intended Learning Outcome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Cognitive level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Integrate an AI/ML service into an application through its API, handling probabilistic outputs appropriately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LO2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Embed a pre-built model into a software product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LO3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 AI-assisted development practices responsibly, evaluating generated outputs before adoption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Evaluate / Apply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4. Curriculum and Delivery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Syllabus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Lecture hours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U1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capabilities in applications: the landscape of AI/ML services and pre-built models; the use side of the axis - what this module does and does not do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U2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Consuming AI/ML services through APIs: authentication and requests; handling model outputs, errors and rate limits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U3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Embedding pre-built models: in-application inference with pre-trained models; model formats and runtimes at consumer level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U4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Designing AI-enabled features: application design around probabilistic outputs; confidence handling, fallbacks and graceful degradation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U5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AI-assisted development practice: coding assistants in the development workflow; review discipline and verification of generated code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U6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Responsible use: limitations and bias awareness at consumer level; data privacy in AI-service use; disclosure practice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lecture hours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Application work is conducted in the pathway’s working languages - Java or JavaScript per the application context - per the School’s working-languages decision. No model-building tooling is introduced.</w:t>
      </w:r>
    </w:p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Sessions run as 3-hour blocks (16 sessions); the laboratory allocation carries an AI-enabled application build across Units 2 to 5.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Teaching and Learning Hours (SLQF)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Lectures (fixed)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Tutorials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Practicals / Laboratory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In-class assignments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Demonstration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Self-guided study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150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5.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26"/>
        <w:gridCol w:w="2100"/>
        <w:gridCol w:w="1300"/>
        <w:gridCol w:w="8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Learning outcomes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AI-enabled application build: an application integrating at least one AI/ML service and one embedded pre-built model, with a responsible-use statement covering AI-assisted development in its own construction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take-home; Graded; Viva/Presentation: Viva-defence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LO1, LO2, LO3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 (in-class)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Supervised applied exercise under open-resource conditions: service-integration and output-handling tasks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in-class; Graded; Viva/Presentation: None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35%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examination is carried by design: the assessed capability is applied integration, and in a module that teaches AI-assisted development the viva-defence is the deliberate integrity instrument - students defend what they built and how assistance was used, which the responsible-use statement documents. Weights sum to 100%; weightings are confirmed at specification sign-off. Reassessment is by failed component. Academic-integrity and generative-AI expectations follow School policy, with this module’s own taught practice as their foundation.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6. Resources, Staff and Governance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Reading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Ameisen, E., Building Machine Learning Powered Applications: Going from Idea to Product, O’Reilly Media (used for its application-integration chapters; model-building chapters are out of scope by boundary).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Huyen, C., AI Engineering: Building Applications with Foundation Models, O’Reilly Media.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Service and model documentation for the platforms used in the laboratory, named as such; confirmed at teaching-plan confirmation.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Staffing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 credential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1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2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module auditor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Domain-expertise statement: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Taught from AI-integration and application-development expertise, distinct from model-building delivery; generic delivery is non-compliant.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Version and 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13"/>
        <w:gridCol w:w="2413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Amendment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Jul 2026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descriptor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2026-07-20T11:03:26.098Z</dcterms:created>
  <dcterms:modified xsi:type="dcterms:W3CDTF">2026-07-20T11:03:26.098Z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