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Web Application Foundations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NB-SOCE-L3-SE-TT-03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21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NB-SOCE-L3-SE-TT-03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Application Foundations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3 (Year 1)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and Cloud Application Development (Year 2, the tiered continuation) and through it NB6007CEM Web API Development; the demanding content (Node.js, REST, asynchronous programming, API security, cloud delivery) sits entirely in the Year 2 tier. Also supplies, jointly with Fundamentals of Computing, the client-server and HTTP context assumed by NB5004CEM Cyber Security.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 (general programming behind client-side scripting)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the first tier of the pathway’s two-tier web vertical: how the web works as a client-server system over HTTP, and how a working client-side interface is built with HTML, CSS and introductory JavaScript. Its design intent is a measured gradient into the demanding Year 2 continuation, since everything demanding (server-side JavaScript, REST, asynchronous programming, API security, cloud delivery) sits by boundary in the Year 2 tier.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taught practice before the Year 2 continuation is concentrated rather than extended, and the mitigation is structural - the Year 2 tier is a 4-credit, laboratory-heavy module, and this module’s delivery stays laboratory-weighted.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and the client-server model; HTML and CSS; introductory JavaScript; the document object model. This is the first tier of the two-tier web vertical.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server-side JavaScript, Node.js, REST API design, asynchronous programming, API security and cloud delivery (Web and Cloud Application Development, Year 2).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the client-server model and the role of HTTP in the delivery of web applications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static web interface using semantic HTML and CSS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interactivity to a web interface using JavaScript and the document object 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web as a system: the client-server model; HTTP requests and responses; URLs, browsers and servers in outline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HTML: document structure and semantics; forms; accessibility fundamentals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CSS: selectors and the cascade; box model; layout with flexbox and grid; responsive basics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Introductory JavaScript: values, control flow and functions in the browser context; the transition from the Year 1 programming language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document object model: selecting and manipulating elements; events and interactivity; introductory debugging with browser developer tools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module’s working language is JavaScript (client-side tier), per the School’s working-languages decision; the server tier is owned by Web and Cloud Application Development. Unit 4 explicitly manages the transition from Java, the Year 1 programming language.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practical and laboratory allocation carries the build strand.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web interface: an individually built, standards-conformant interface with styled layout and scripted interactivity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practical class test under open-resource conditions: timed build and modification tasks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demonstrated build competence, and the supervised in-class practical test is the integrity anchor for individual capability; a supervised open-resource practical test is classed as in-class coursework. Weights sum to 100%; weightings are confirmed at specification sign-off. Reassessment is by failed component. Academic-integrity and generative-AI expectations follow School policy; the presentation of the built interface and the supervised test anchor individual authorship.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Duckett, J., HTML and CSS: Design and Build Websites, Wiley.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Haverbeke, M., Eloquent JavaScript, 3rd edition, No Starch Press (JavaScript-dependent text; the module’s client-side scope uses Parts 1 and 2 only).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MDN Web Docs (Mozilla), the module’s named online reference for HTML, CSS, JavaScript and the document object model;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web 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Reissued under current governance baseline; working-language framing aligned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2026-07-21T16:22:22.190Z</dcterms:created>
  <dcterms:modified xsi:type="dcterms:W3CDTF">2026-07-21T16:22:22.190Z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