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pen Sans" w:cs="Open Sans" w:eastAsia="Open Sans" w:hAnsi="Open Sans"/>
          <w:b w:val="false"/>
          <w:bCs w:val="false"/>
          <w:i w:val="false"/>
          <w:iCs w:val="false"/>
          <w:color w:val="595959"/>
          <w:sz w:val="20"/>
          <w:szCs w:val="20"/>
        </w:rPr>
        <w:t xml:space="preserve">Module Descriptor</w:t>
      </w:r>
    </w:p>
    <w:p>
      <w:pPr>
        <w:pBdr>
          <w:bottom w:val="single" w:color="595959" w:sz="12" w:space="4"/>
        </w:pBdr>
        <w:spacing w:after="40"/>
      </w:pPr>
      <w:r>
        <w:rPr>
          <w:rFonts w:ascii="Open Sans" w:cs="Open Sans" w:eastAsia="Open Sans" w:hAnsi="Open Sans"/>
          <w:b/>
          <w:bCs/>
          <w:i w:val="false"/>
          <w:iCs w:val="false"/>
          <w:color w:val="595959"/>
          <w:sz w:val="32"/>
          <w:szCs w:val="32"/>
        </w:rPr>
        <w:t xml:space="preserve">Web and Cloud Application Development</w:t>
      </w:r>
    </w:p>
    <w:p>
      <w:pPr>
        <w:spacing w:after="4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NB-SOCE-L4-SE-TT-02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(Software Engineering)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w:t>
      </w:r>
    </w:p>
    <w:p>
      <w:pPr>
        <w:spacing w:after="40" w:before="0"/>
      </w:pP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v1.1    </w:t>
      </w:r>
      <w:r>
        <w:rPr>
          <w:rFonts w:ascii="Open Sans" w:cs="Open Sans" w:eastAsia="Open Sans" w:hAnsi="Open Sans"/>
          <w:b/>
          <w:bCs/>
          <w:i w:val="false"/>
          <w:iCs w:val="false"/>
          <w:color w:val="000000"/>
          <w:sz w:val="20"/>
          <w:szCs w:val="20"/>
        </w:rPr>
        <w:t xml:space="preserve">Date: </w:t>
      </w:r>
      <w:r>
        <w:rPr>
          <w:rFonts w:ascii="Open Sans" w:cs="Open Sans" w:eastAsia="Open Sans" w:hAnsi="Open Sans"/>
          <w:b w:val="false"/>
          <w:bCs w:val="false"/>
          <w:i w:val="false"/>
          <w:iCs w:val="false"/>
          <w:color w:val="000000"/>
          <w:sz w:val="20"/>
          <w:szCs w:val="20"/>
        </w:rPr>
        <w:t xml:space="preserve">21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Sri Lanka Qualifications Framework (September 2015, University Grants Commission)</w:t>
      </w:r>
    </w:p>
    <w:p>
      <w:pPr>
        <w:spacing w:after="160" w:before="240"/>
      </w:pPr>
      <w:r>
        <w:rPr>
          <w:rFonts w:ascii="Open Sans" w:cs="Open Sans" w:eastAsia="Open Sans" w:hAnsi="Open Sans"/>
          <w:b/>
          <w:bCs/>
          <w:i w:val="false"/>
          <w:iCs w:val="false"/>
          <w:color w:val="595959"/>
          <w:sz w:val="26"/>
          <w:szCs w:val="26"/>
        </w:rPr>
        <w:t xml:space="preserve">1. Module Identity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Field</w:t>
            </w:r>
          </w:p>
        </w:tc>
        <w:tc>
          <w:tcPr>
            <w:tcW w:type="dxa" w:w="64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code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NB-SOCE-L4-SE-TT-02</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title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Web and Cloud Application Development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Scope /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Pathway: Computer Science with Software Engineering  ·  Pathway / Taught</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SLQF level / credits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Level 4 (Year 2)  ·  4 credits  ·  200 notional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Progression targets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NB6007CEM Web API Development (the flagship proximate destination - Node.js, REST, asynchronous JavaScript, API security and deployment); NB6034CEM Software Engineering 2 (microservice awareness through the API-design lens; DevOps pipelines); NB6033CEM Mobile Application Development 2 (RESTful API consumption); NB5004CEM Cyber Security (web authentication and HTTPS in application context).</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Prerequisites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Web Application Foundations (the Year 1 tier); Programming Concepts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Delivery mode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Session-based: 3-hour blocks; 22 lecture sessions plus tutorials, practicals and demonstration per the hours profile; laboratory-heavy</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Hours profile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Taught 4-credit profile</w:t>
            </w:r>
          </w:p>
        </w:tc>
      </w:tr>
    </w:tbl>
    <w:p>
      <w:pPr>
        <w:spacing w:after="160" w:before="240"/>
      </w:pPr>
      <w:r>
        <w:rPr>
          <w:rFonts w:ascii="Open Sans" w:cs="Open Sans" w:eastAsia="Open Sans" w:hAnsi="Open Sans"/>
          <w:b/>
          <w:bCs/>
          <w:i w:val="false"/>
          <w:iCs w:val="false"/>
          <w:color w:val="595959"/>
          <w:sz w:val="26"/>
          <w:szCs w:val="26"/>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The module is the second tier of the pathway’s web vertical and its flagship applied build: server-side JavaScript and Node.js, REST API design, asynchronous programming, API security, single-page application delivery, and the cloud deployment and operation of what is built, through a continuous-integration and delivery pipeline. The working language is JavaScript, client and server, per the School’s working-languages decision. It holds the pathway’s second DevOps home (the delivery pipeline, paired with Enterprise Application Development’s integration home) and one of its two secure-coding homes.</w:t>
      </w:r>
    </w:p>
    <w:p>
      <w:pPr>
        <w:spacing w:after="120" w:before="0"/>
      </w:pPr>
      <w:r>
        <w:rPr>
          <w:rFonts w:ascii="Open Sans" w:cs="Open Sans" w:eastAsia="Open Sans" w:hAnsi="Open Sans"/>
          <w:b w:val="false"/>
          <w:bCs w:val="false"/>
          <w:i w:val="false"/>
          <w:iCs w:val="false"/>
          <w:color w:val="000000"/>
          <w:sz w:val="20"/>
          <w:szCs w:val="20"/>
        </w:rPr>
        <w:t xml:space="preserve">The scope limits are deliberate and load-bearing: cloud enters as a delivery target for applications, not as infrastructure - provisioning and operating infrastructure belongs to the Network Engineering and Cybersecurity pathway under the boundary below - and cloud-native architecture as standalone conceptual content is not carried, the recorded cost of absorbing cloud scope without credit movement. This is the densest module of the year at 66 lecture hours; the consolidation is defensible because deployment and DevOps were already inside this boundary, so cloud deepens an existing strand rather than adding a foreign one.</w:t>
      </w:r>
    </w:p>
    <w:p>
      <w:pPr>
        <w:spacing w:after="120" w:before="200"/>
      </w:pPr>
      <w:r>
        <w:rPr>
          <w:rFonts w:ascii="Open Sans" w:cs="Open Sans" w:eastAsia="Open Sans" w:hAnsi="Open Sans"/>
          <w:b/>
          <w:bCs/>
          <w:i w:val="false"/>
          <w:iCs w:val="false"/>
          <w:color w:val="595959"/>
          <w:sz w:val="22"/>
          <w:szCs w:val="22"/>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595959" w:sz="24"/>
              <w:bottom w:val="none"/>
              <w:right w:val="none"/>
            </w:tcBorders>
            <w:shd w:fill="F7F7F7" w:val="clear"/>
            <w:tcMar>
              <w:top w:type="dxa" w:w="120"/>
              <w:left w:type="dxa" w:w="180"/>
              <w:bottom w:type="dxa" w:w="120"/>
              <w:right w:type="dxa" w:w="140"/>
            </w:tcMar>
          </w:tcPr>
          <w:p>
            <w:pPr>
              <w:spacing w:after="80"/>
            </w:pPr>
            <w:r>
              <w:rPr>
                <w:rFonts w:ascii="Open Sans" w:cs="Open Sans" w:eastAsia="Open Sans" w:hAnsi="Open Sans"/>
                <w:b/>
                <w:bCs/>
                <w:i w:val="false"/>
                <w:iCs w:val="false"/>
                <w:color w:val="000000"/>
                <w:sz w:val="20"/>
                <w:szCs w:val="20"/>
              </w:rPr>
              <w:t xml:space="preserve">Covers: </w:t>
            </w:r>
            <w:r>
              <w:rPr>
                <w:rFonts w:ascii="Open Sans" w:cs="Open Sans" w:eastAsia="Open Sans" w:hAnsi="Open Sans"/>
                <w:b w:val="false"/>
                <w:bCs w:val="false"/>
                <w:i w:val="false"/>
                <w:iCs w:val="false"/>
                <w:color w:val="000000"/>
                <w:sz w:val="20"/>
                <w:szCs w:val="20"/>
              </w:rPr>
              <w:t xml:space="preserve">server-side JavaScript and Node.js; REST API design and implementation; asynchronous programming; API security and authentication; single-page application delivery; cloud deployment and operation of web applications and APIs (cloud as delivery target); the DevOps delivery pipeline (continuous integration and delivery); microservice awareness via API design; a secure-coding strand (web application security, input validation, injection and XSS awareness, feeding NB6035CEM).</w:t>
            </w:r>
          </w:p>
          <w:p>
            <w:pPr>
              <w:spacing w:after="80"/>
            </w:pPr>
            <w:r>
              <w:rPr>
                <w:rFonts w:ascii="Open Sans" w:cs="Open Sans" w:eastAsia="Open Sans" w:hAnsi="Open Sans"/>
                <w:b/>
                <w:bCs/>
                <w:i w:val="false"/>
                <w:iCs w:val="false"/>
                <w:color w:val="000000"/>
                <w:sz w:val="20"/>
                <w:szCs w:val="20"/>
              </w:rPr>
              <w:t xml:space="preserve">Does NOT cover: </w:t>
            </w:r>
            <w:r>
              <w:rPr>
                <w:rFonts w:ascii="Open Sans" w:cs="Open Sans" w:eastAsia="Open Sans" w:hAnsi="Open Sans"/>
                <w:b w:val="false"/>
                <w:bCs w:val="false"/>
                <w:i w:val="false"/>
                <w:iCs w:val="false"/>
                <w:color w:val="000000"/>
                <w:sz w:val="20"/>
                <w:szCs w:val="20"/>
              </w:rPr>
              <w:t xml:space="preserve">web foundations (Web Application Foundations, Year 1); enterprise persistence build (Enterprise Application Development); cloud-native architecture as standalone conceptual content; cloud infrastructure provisioning and operations (the Network Engineering and Cybersecurity pathway’s Cloud Technologies and infrastructure modules: this pathway deploys applications to cloud, that pathway provisions and operates infrastructure); device backends (IoT Application Development); deep security engineering (NB5004CEM at Coventry University).</w:t>
            </w:r>
          </w:p>
          <w:p>
            <w:pPr>
              <w:spacing w:after="80"/>
            </w:pPr>
            <w:r>
              <w:rPr>
                <w:rFonts w:ascii="Open Sans" w:cs="Open Sans" w:eastAsia="Open Sans" w:hAnsi="Open Sans"/>
                <w:b/>
                <w:bCs/>
                <w:i w:val="false"/>
                <w:iCs w:val="false"/>
                <w:color w:val="000000"/>
                <w:sz w:val="20"/>
                <w:szCs w:val="20"/>
              </w:rPr>
              <w:t xml:space="preserve"/>
            </w:r>
            <w:r>
              <w:rPr>
                <w:rFonts w:ascii="Open Sans" w:cs="Open Sans" w:eastAsia="Open Sans" w:hAnsi="Open Sans"/>
                <w:b w:val="false"/>
                <w:bCs w:val="false"/>
                <w:i/>
                <w:iCs/>
                <w:color w:val="000000"/>
                <w:sz w:val="20"/>
                <w:szCs w:val="20"/>
              </w:rPr>
              <w:t xml:space="preserve">Changes to this boundary are made only through the School’s formal change-control process.</w:t>
            </w:r>
          </w:p>
        </w:tc>
      </w:tr>
    </w:tbl>
    <w:p>
      <w:pPr>
        <w:spacing w:after="160" w:before="240"/>
      </w:pPr>
      <w:r>
        <w:rPr>
          <w:rFonts w:ascii="Open Sans" w:cs="Open Sans" w:eastAsia="Open Sans" w:hAnsi="Open Sans"/>
          <w:b/>
          <w:bCs/>
          <w:i w:val="false"/>
          <w:iCs w:val="false"/>
          <w:color w:val="595959"/>
          <w:sz w:val="26"/>
          <w:szCs w:val="26"/>
        </w:rPr>
        <w:t xml:space="preserve">3.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Ref</w:t>
            </w:r>
          </w:p>
        </w:tc>
        <w:tc>
          <w:tcPr>
            <w:tcW w:type="dxa" w:w="5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Intended Learning Outcome</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Cognitive level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Design and implement a RESTful API using Node.js, analysing a problem domain into a resource model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Analyse / Apply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w:t>
            </w:r>
          </w:p>
        </w:tc>
        <w:tc>
          <w:tcPr>
            <w:tcW w:type="dxa" w:w="5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Build an interactive single-page application that consumes the API through asynchronous programming</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Implement API security and authentication, applying secure-coding practice against common web vulnerabilities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LO4</w:t>
            </w:r>
          </w:p>
        </w:tc>
        <w:tc>
          <w:tcPr>
            <w:tcW w:type="dxa" w:w="5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Deploy and operate the application on a cloud platform through a continuous-integration and delivery pipeline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bl>
    <w:p>
      <w:pPr>
        <w:spacing w:after="160" w:before="240"/>
      </w:pPr>
      <w:r>
        <w:rPr>
          <w:rFonts w:ascii="Open Sans" w:cs="Open Sans" w:eastAsia="Open Sans" w:hAnsi="Open Sans"/>
          <w:b/>
          <w:bCs/>
          <w:i w:val="false"/>
          <w:iCs w:val="false"/>
          <w:color w:val="595959"/>
          <w:sz w:val="26"/>
          <w:szCs w:val="26"/>
        </w:rPr>
        <w:t xml:space="preserve">4. Curriculum and Delivery</w:t>
      </w:r>
    </w:p>
    <w:p>
      <w:pPr>
        <w:spacing w:after="120" w:before="200"/>
      </w:pPr>
      <w:r>
        <w:rPr>
          <w:rFonts w:ascii="Open Sans" w:cs="Open Sans" w:eastAsia="Open Sans" w:hAnsi="Open Sans"/>
          <w:b/>
          <w:bCs/>
          <w:i w:val="false"/>
          <w:iCs w:val="false"/>
          <w:color w:val="595959"/>
          <w:sz w:val="22"/>
          <w:szCs w:val="22"/>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826"/>
        <w:gridCol w:w="1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Unit</w:t>
            </w:r>
          </w:p>
        </w:tc>
        <w:tc>
          <w:tcPr>
            <w:tcW w:type="dxa" w:w="6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Server-side JavaScript and Node.js: the runtime and event loop; modules and package management; the server tier of the web vertical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U2</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Asynchronous programming: callbacks, promises and async/await; error handling in asynchronous code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U3</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REST API design and implementation: resources and routing; HTTP semantics; framework-based API construction; microservice awareness through the API-design lens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U4</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API security and authentication: sessions and token-based authentication; HTTPS in application context; secure coding - input validation, injection and XSS awareness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U5</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Single-page application delivery: consuming the API from an interactive client; state and rendering at applied level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U6</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Cloud deployment and operation: cloud as delivery target; environments, configuration and operation of the deployed application</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U7</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The DevOps delivery pipeline: continuous integration and delivery for web applications and APIs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
            </w:r>
          </w:p>
        </w:tc>
        <w:tc>
          <w:tcPr>
            <w:tcW w:type="dxa" w:w="68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 lecture hours</w:t>
            </w:r>
          </w:p>
        </w:tc>
        <w:tc>
          <w:tcPr>
            <w:tcW w:type="dxa" w:w="1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66</w:t>
            </w:r>
          </w:p>
        </w:tc>
      </w:tr>
    </w:tbl>
    <w:p>
      <w:pPr>
        <w:spacing w:after="120" w:before="120"/>
      </w:pPr>
      <w:r>
        <w:rPr>
          <w:rFonts w:ascii="Open Sans" w:cs="Open Sans" w:eastAsia="Open Sans" w:hAnsi="Open Sans"/>
          <w:b w:val="false"/>
          <w:bCs w:val="false"/>
          <w:i w:val="false"/>
          <w:iCs w:val="false"/>
          <w:color w:val="000000"/>
          <w:sz w:val="20"/>
          <w:szCs w:val="20"/>
        </w:rPr>
        <w:t xml:space="preserve">The working language is JavaScript, client and server, per the School’s working-languages decision - the second tier of the vertical opened by Web Application Foundations. The cloud platform is not named in this descriptor; any platform naming lands at teaching-plan confirmation.</w:t>
      </w:r>
    </w:p>
    <w:p>
      <w:pPr>
        <w:spacing w:after="120" w:before="120"/>
      </w:pPr>
      <w:r>
        <w:rPr>
          <w:rFonts w:ascii="Open Sans" w:cs="Open Sans" w:eastAsia="Open Sans" w:hAnsi="Open Sans"/>
          <w:b w:val="false"/>
          <w:bCs w:val="false"/>
          <w:i w:val="false"/>
          <w:iCs w:val="false"/>
          <w:color w:val="000000"/>
          <w:sz w:val="20"/>
          <w:szCs w:val="20"/>
        </w:rPr>
        <w:t xml:space="preserve">Sessions run as 3-hour blocks (22 sessions); the laboratory-heavy allocation carries one full-stack build that accumulates across all units and is the assessed artefact. This syllabus is deliberately full: additions at review require matching removals.</w:t>
      </w:r>
    </w:p>
    <w:p>
      <w:pPr>
        <w:spacing w:after="120" w:before="200"/>
      </w:pPr>
      <w:r>
        <w:rPr>
          <w:rFonts w:ascii="Open Sans" w:cs="Open Sans" w:eastAsia="Open Sans" w:hAnsi="Open Sans"/>
          <w:b/>
          <w:bCs/>
          <w:i w:val="false"/>
          <w:iCs w:val="false"/>
          <w:color w:val="595959"/>
          <w:sz w:val="22"/>
          <w:szCs w:val="22"/>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Hours</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Lectures (fixed)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66</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Tutorials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15</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Practicals / Laboratory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In-class assignments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Demonstration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Self-guided study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74</w:t>
            </w:r>
          </w:p>
        </w:tc>
      </w:tr>
      <w:tr>
        <w:tc>
          <w:tcPr>
            <w:tcW w:type="dxa" w:w="66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200</w:t>
            </w:r>
          </w:p>
        </w:tc>
      </w:tr>
    </w:tbl>
    <w:p>
      <w:pPr>
        <w:spacing w:after="160" w:before="240"/>
      </w:pPr>
      <w:r>
        <w:rPr>
          <w:rFonts w:ascii="Open Sans" w:cs="Open Sans" w:eastAsia="Open Sans" w:hAnsi="Open Sans"/>
          <w:b/>
          <w:bCs/>
          <w:i w:val="false"/>
          <w:iCs w:val="false"/>
          <w:color w:val="595959"/>
          <w:sz w:val="26"/>
          <w:szCs w:val="26"/>
        </w:rPr>
        <w:t xml:space="preserve">5.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26"/>
        <w:gridCol w:w="2100"/>
        <w:gridCol w:w="1300"/>
        <w:gridCol w:w="800"/>
      </w:tblGrid>
      <w:tr>
        <w:tc>
          <w:tcPr>
            <w:tcW w:type="dxa" w:w="15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33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Task</w:t>
            </w:r>
          </w:p>
        </w:tc>
        <w:tc>
          <w:tcPr>
            <w:tcW w:type="dxa" w:w="21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Conditions</w:t>
            </w:r>
          </w:p>
        </w:tc>
        <w:tc>
          <w:tcPr>
            <w:tcW w:type="dxa" w:w="13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Learning outcomes</w:t>
            </w:r>
          </w:p>
        </w:tc>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Full-stack staged build: a secure, API-served single-page application deployed to a cloud platform through a continuous-integration and delivery pipeline, submitted with pipeline history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take-home; Graded; Viva/Presentation: Viva-defence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 LO2, LO3, LO4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70%</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 (in-class)</w:t>
            </w:r>
          </w:p>
        </w:tc>
        <w:tc>
          <w:tcPr>
            <w:tcW w:type="dxa" w:w="33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Supervised applied exercise under open-resource conditions: asynchronous-programming and API-security tasks</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in-class; Graded; Viva/Presentation: None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 LO3</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bl>
    <w:p>
      <w:pPr>
        <w:spacing w:after="120" w:before="120"/>
      </w:pPr>
      <w:r>
        <w:rPr>
          <w:rFonts w:ascii="Open Sans" w:cs="Open Sans" w:eastAsia="Open Sans" w:hAnsi="Open Sans"/>
          <w:b w:val="false"/>
          <w:bCs w:val="false"/>
          <w:i w:val="false"/>
          <w:iCs w:val="false"/>
          <w:color w:val="000000"/>
          <w:sz w:val="20"/>
          <w:szCs w:val="20"/>
        </w:rPr>
        <w:t xml:space="preserve">No examination is carried by design: the assessed capability is the end-to-end applied build the module exists to produce; assessment integrity is anchored by the mandatory viva-defence, the pipeline history as authorship evidence, and the supervised in-class component. Weights sum to 100%; weightings are confirmed at specification sign-off. Reassessment is by failed component. Academic-integrity and generative-AI expectations follow School policy.</w:t>
      </w:r>
    </w:p>
    <w:p>
      <w:pPr>
        <w:spacing w:after="160" w:before="240"/>
      </w:pPr>
      <w:r>
        <w:rPr>
          <w:rFonts w:ascii="Open Sans" w:cs="Open Sans" w:eastAsia="Open Sans" w:hAnsi="Open Sans"/>
          <w:b/>
          <w:bCs/>
          <w:i w:val="false"/>
          <w:iCs w:val="false"/>
          <w:color w:val="595959"/>
          <w:sz w:val="26"/>
          <w:szCs w:val="26"/>
        </w:rPr>
        <w:t xml:space="preserve">6. Resources, Staff and Governance</w:t>
      </w:r>
    </w:p>
    <w:p>
      <w:pPr>
        <w:spacing w:after="120" w:before="200"/>
      </w:pPr>
      <w:r>
        <w:rPr>
          <w:rFonts w:ascii="Open Sans" w:cs="Open Sans" w:eastAsia="Open Sans" w:hAnsi="Open Sans"/>
          <w:b/>
          <w:bCs/>
          <w:i w:val="false"/>
          <w:iCs w:val="false"/>
          <w:color w:val="595959"/>
          <w:sz w:val="22"/>
          <w:szCs w:val="22"/>
        </w:rPr>
        <w:t xml:space="preserve">Indicative Reading</w:t>
      </w:r>
    </w:p>
    <w:p>
      <w:pPr>
        <w:spacing w:after="60"/>
        <w:ind w:left="360" w:hanging="200"/>
      </w:pPr>
      <w:r>
        <w:rPr>
          <w:rFonts w:ascii="Open Sans" w:cs="Open Sans" w:eastAsia="Open Sans" w:hAnsi="Open Sans"/>
          <w:b w:val="false"/>
          <w:bCs w:val="false"/>
          <w:i w:val="false"/>
          <w:iCs w:val="false"/>
          <w:color w:val="000000"/>
          <w:sz w:val="20"/>
          <w:szCs w:val="20"/>
        </w:rPr>
        <w:t xml:space="preserve">–  Brown, E., Web Development with Node and Express, 2nd edition, O’Reilly Media (JavaScript- and Node.js-dependent text).</w:t>
      </w:r>
    </w:p>
    <w:p>
      <w:pPr>
        <w:spacing w:after="60"/>
        <w:ind w:left="360" w:hanging="200"/>
      </w:pPr>
      <w:r>
        <w:rPr>
          <w:rFonts w:ascii="Open Sans" w:cs="Open Sans" w:eastAsia="Open Sans" w:hAnsi="Open Sans"/>
          <w:b w:val="false"/>
          <w:bCs w:val="false"/>
          <w:i w:val="false"/>
          <w:iCs w:val="false"/>
          <w:color w:val="000000"/>
          <w:sz w:val="20"/>
          <w:szCs w:val="20"/>
        </w:rPr>
        <w:t xml:space="preserve">–  Cantelon, M., Harter, M., Holowaychuk, T. J. and Rajlich, N., Node.js in Action, 2nd edition, Manning.</w:t>
      </w:r>
    </w:p>
    <w:p>
      <w:pPr>
        <w:spacing w:after="60"/>
        <w:ind w:left="360" w:hanging="200"/>
      </w:pPr>
      <w:r>
        <w:rPr>
          <w:rFonts w:ascii="Open Sans" w:cs="Open Sans" w:eastAsia="Open Sans" w:hAnsi="Open Sans"/>
          <w:b w:val="false"/>
          <w:bCs w:val="false"/>
          <w:i w:val="false"/>
          <w:iCs w:val="false"/>
          <w:color w:val="000000"/>
          <w:sz w:val="20"/>
          <w:szCs w:val="20"/>
        </w:rPr>
        <w:t xml:space="preserve">–  OWASP Foundation, OWASP Top Ten, the module’s named online reference for the secure-coding strand; confirmed at teaching-plan confirmation.</w:t>
      </w:r>
    </w:p>
    <w:p>
      <w:pPr>
        <w:spacing w:after="120" w:before="200"/>
      </w:pPr>
      <w:r>
        <w:rPr>
          <w:rFonts w:ascii="Open Sans" w:cs="Open Sans" w:eastAsia="Open Sans" w:hAnsi="Open Sans"/>
          <w:b/>
          <w:bCs/>
          <w:i w:val="false"/>
          <w:iCs w:val="false"/>
          <w:color w:val="595959"/>
          <w:sz w:val="22"/>
          <w:szCs w:val="22"/>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Role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Name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1</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2</w:t>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External module auditor</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web, API and cloud application-development expertise, distinct from infrastructure delivery; generic delivery is non-compliant.</w:t>
      </w:r>
    </w:p>
    <w:p>
      <w:pPr>
        <w:spacing w:after="120" w:before="200"/>
      </w:pPr>
      <w:r>
        <w:rPr>
          <w:rFonts w:ascii="Open Sans" w:cs="Open Sans" w:eastAsia="Open Sans" w:hAnsi="Open Sans"/>
          <w:b/>
          <w:bCs/>
          <w:i w:val="false"/>
          <w:iCs w:val="false"/>
          <w:color w:val="595959"/>
          <w:sz w:val="22"/>
          <w:szCs w:val="22"/>
        </w:rPr>
        <w:t xml:space="preserve">Version and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13"/>
        <w:gridCol w:w="2413"/>
      </w:tblGrid>
      <w:tr>
        <w:tc>
          <w:tcPr>
            <w:tcW w:type="dxa" w:w="12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Date</w:t>
            </w:r>
          </w:p>
        </w:tc>
        <w:tc>
          <w:tcPr>
            <w:tcW w:type="dxa" w:w="36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Amendment</w:t>
            </w:r>
          </w:p>
        </w:tc>
        <w:tc>
          <w:tcPr>
            <w:tcW w:type="dxa" w:w="24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Approved by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20 Jul 2026</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Initial descriptor</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1.1</w:t>
            </w:r>
          </w:p>
        </w:tc>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21 Jul 2026</w:t>
            </w:r>
          </w:p>
        </w:tc>
        <w:tc>
          <w:tcPr>
            <w:tcW w:type="dxa" w:w="36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Reissued under current governance baseline; no material change</w:t>
            </w:r>
          </w:p>
        </w:tc>
        <w:tc>
          <w:tcPr>
            <w:tcW w:type="dxa" w:w="24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2026-07-21T16:22:09.801Z</dcterms:created>
  <dcterms:modified xsi:type="dcterms:W3CDTF">2026-07-21T16:22:09.801Z</dcterms:modified>
</cp:coreProperties>
</file>

<file path=docProps/custom.xml><?xml version="1.0" encoding="utf-8"?>
<Properties xmlns="http://schemas.openxmlformats.org/officeDocument/2006/custom-properties" xmlns:vt="http://schemas.openxmlformats.org/officeDocument/2006/docPropsVTypes"/>
</file>