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Module Descriptor</w:t>
      </w:r>
    </w:p>
    <w:p>
      <w:pPr>
        <w:pBdr>
          <w:bottom w:val="single" w:color="595959" w:sz="12" w:space="4"/>
        </w:pBdr>
        <w:spacing w:after="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32"/>
          <w:szCs w:val="32"/>
        </w:rPr>
        <w:t xml:space="preserve">Mobile Application Development I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NB-SOCE-L4-SE-TT-03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(Software Engineering)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</w:t>
      </w:r>
    </w:p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v1.2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Date: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21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Sri Lanka Qualifications Framework (September 2015, University Grants Commission)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1. Module Identity and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code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NB-SOCE-L4-SE-TT-03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Module title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Development 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Scope / type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Pathway: Computer Science with Software Engineering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SLQF level / credits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Level 4 (Year 2)  ·  3 credits  ·  150 notional hours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Progression targets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NB6033CEM Mobile Application Development 2 - the direct numbered predecessor. Supplies the mobile build, design-pattern and API-consumption base that Mobile Application Development 2 extends into MVVM, continuous integration and analytics.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Programming Concepts (object-oriented programming); design-pattern awareness from Software Architecture Foundations; API consumption from Web and Cloud Application Development; Data Models and Management Systems (data integration)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Session-based: 3-hour blocks; 16 lecture sessions plus tutorials, practicals and demonstration per the hours profile; laboratory-heavy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Hours profile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Taught 3-credit profile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module builds native mobile development for the Software Engineering pathway and is the direct numbered predecessor of its Coventry University continuation: the mobile build, design-pattern and API-consumption base that Mobile Application Development 2 extends into MVVM, continuous integration and crash analytics. Its 3-credit scope is defensible because supporting modules carry a substantial part of its load - design-pattern awareness arrives from Software Architecture Foundations, API-consumption mechanics from Web and Cloud Application Development, and SQL practice from Data Models and Management Systems - so the module concentrates on its mobile-specific core.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scope limit is deliberate: platform breadth and polish sit outside the taught scope, and the module teaches one native platform properly rather than several thinly (the platform decision is recorded in Section 4).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Specification Boundary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95959" w:sz="24"/>
              <w:bottom w:val="none"/>
              <w:right w:val="none"/>
            </w:tcBorders>
            <w:shd w:fill="F7F7F7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development; introductory software design patterns in the mobile context; UI construction for mobile; database integration and RESTful API consumption in a mobile app (consumption level).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MVVM architectural pattern, continuous integration and crash-analytics depth (NB6033CEM at Coventry University); SQL teaching (Data Models and Management Systems).</w:t>
            </w:r>
          </w:p>
          <w:p>
            <w:pPr>
              <w:spacing w:after="8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Changes to this boundary are made only through the School’s formal change-control process.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3. Learning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826"/>
        <w:gridCol w:w="2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Intended Learning Outcome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Cognitive level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functional mobile application for the target platform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LO2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 introductory design patterns in the mobile context, analysing their fit to a given application structure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Analyse / 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LO3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Construct an event-driven mobile user interface following platform conventions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LO4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Integrate a local database and consume a RESTful API within a mobile application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Apply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4. Curriculum and Delivery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Syllabus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826"/>
        <w:gridCol w:w="1400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U1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mobile platform: Android application structure; activities and the lifecycle; Kotlin for Java programmers (the managed transition)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U2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UI construction for mobile: layouts and components; event handling; navigation; platform UI conventions and responsive behaviour on device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U3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Introductory design patterns in the mobile context: separation of concerns; adapter and observer patterns in interface work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U4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Database integration: local persistence within the mobile application (SQL fluency assumed)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U5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RESTful API consumption: networking on device; parsing and presenting remote data (consumption level)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lecture hours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platform language is Kotlin, on the Android platform, per the School’s working-languages decision. The reasoning: the Coventry University continuation extends this module into MVVM, continuous integration and crash analytics, an extension chain native to the Android/Kotlin toolchain; the Year 1 programming language is Java, and Kotlin’s JVM basis makes the language transition the least costly available, taught as a managed transition in Unit 1; and one native platform taught properly serves the 3-credit scope better than cross-platform breadth. The cost is stated plainly: iOS and Swift are not taught, and students meet no Apple toolchain before Coventry University. Android Studio runs on existing laboratory machines; no additional hardware fleet is required.</w:t>
      </w:r>
    </w:p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Sessions run as 3-hour blocks (16 sessions); the laboratory-heavy allocation carries one application build accumulating across all units.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Teaching and Learning Hours (SLQF)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26"/>
        <w:gridCol w:w="2400"/>
      </w:tblGrid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Lectures (fixed)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Tutorials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Practicals / Laboratory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In-class assignments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Demonstration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Self-guided study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5.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26"/>
        <w:gridCol w:w="2100"/>
        <w:gridCol w:w="1300"/>
        <w:gridCol w:w="8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Conditions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application build: an individually built, working application with database integration and API consumption, demonstrated on device or emulator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take-home; Graded; Viva/Presentation: Presentation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LO2, LO3, LO4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Coursework (in-class)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Supervised practical class test under open-resource conditions: timed build and modification tasks in the platform environment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Individual; in-class; Graded; Viva/Presentation: None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LO1, LO3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examination is carried by design: the assessed capability is demonstrated build competence on the platform, and the supervised in-class practical test is the integrity anchor for individual capability. Weights sum to 100%; weightings are confirmed at specification sign-off. Reassessment is by failed component. Academic-integrity and generative-AI expectations follow School policy; the demonstration of the built application and the supervised test anchor individual authorship.</w:t>
      </w:r>
    </w:p>
    <w:p>
      <w:pPr>
        <w:spacing w:after="16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6"/>
          <w:szCs w:val="26"/>
        </w:rPr>
        <w:t xml:space="preserve">6. Resources, Staff and Governance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Indicative Reading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Stewart, K., Marsicano, K., Gardner, B. and Phillips, B., Android Programming: The Big Nerd Ranch Guide, 5th edition, Big Nerd Ranch / Pearson (Kotlin-dependent text).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Griffiths, D. and Griffiths, D., Head First Android Development, 3rd edition, O’Reilly Media (Kotlin-dependent text).</w:t>
      </w:r>
    </w:p>
    <w:p>
      <w:pPr>
        <w:spacing w:after="60"/>
        <w:ind w:left="360" w:hanging="2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–  Android Developers documentation (Google), the module’s named online reference for platform and Kotlin guidance; confirmed at teaching-plan confirmation.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Staffing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1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Module leader 2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External module auditor</w:t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mobile application development expertise; generic delivery is non-compliant.</w:t>
      </w:r>
    </w:p>
    <w:p>
      <w:pPr>
        <w:spacing w:after="120" w:before="2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2"/>
          <w:szCs w:val="22"/>
        </w:rPr>
        <w:t xml:space="preserve">Version and Sign-off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13"/>
        <w:gridCol w:w="2413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descriptor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Event-handling named in Unit 2; LO3 reworded to event-driven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Jul 2026</w:t>
            </w:r>
          </w:p>
        </w:tc>
        <w:tc>
          <w:tcPr>
            <w:tcW w:type="dxa" w:w="3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Reissued under current governance baseline; working-language basis aligned</w:t>
            </w:r>
          </w:p>
        </w:tc>
        <w:tc>
          <w:tcPr>
            <w:tcW w:type="dxa" w:w="24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2026-07-21T16:22:09.973Z</dcterms:created>
  <dcterms:modified xsi:type="dcterms:W3CDTF">2026-07-21T16:22:09.973Z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