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Programming Concepts</w:t>
      </w:r>
    </w:p>
    <w:p>
      <w:pPr>
        <w:spacing w:after="220" w:before="0"/>
      </w:pPr>
      <w:r>
        <w:rPr>
          <w:rFonts w:ascii="Open Sans" w:cs="Open Sans" w:eastAsia="Open Sans" w:hAnsi="Open Sans"/>
          <w:b w:val="false"/>
          <w:bCs w:val="false"/>
          <w:i w:val="false"/>
          <w:iCs w:val="false"/>
          <w:color w:val="767676"/>
          <w:sz w:val="19"/>
          <w:szCs w:val="19"/>
        </w:rPr>
        <w:t xml:space="preserve">NB-SOCE-L3-CC-TT-01  ·  Common (Tier 2 cluster)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carrying SOCE pathways - held in common</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NB-SOCE-L3-CC-TT-01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Programming Concepts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Common: CS(SE), CS(AI&amp;DS) · Common / Taught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 4 credits · 200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Working language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Pathway-instantiated: Java for CS(SE); Python for CS(AI&amp;DS). single-parameter rule: the working language is the only variable. Boundary, outcomes and assessment specification are invariant.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Feeder targets (named)</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NB5002CEM Algorithms and Data Structures (programming fluency and construction capability). Feeds Programming, Data Structures and Algorithms I as the bound-pair continuation, and the pathway construction verticals named in each carrying record.</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 as an entry condition. Co-runs with Algorithmic Thinking, whose designs are rendered in code here.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Session-based: 3-hour blocks; 22 lecture sessions plus tutorials, practicals, in-class assignments and demonstration per the hours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4-credit (A-4), the School's hours model</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The module turns a student who can design a solution into a student who can build one. It takes the algorithmic reasoning developed alongside it and renders it in a production language, moving from first program to a program that is organised, tested and understood.</w:t>
      </w:r>
    </w:p>
    <w:p>
      <w:pPr>
        <w:spacing w:after="100" w:before="100"/>
      </w:pPr>
      <w:r>
        <w:rPr>
          <w:rFonts w:ascii="Open Sans" w:cs="Open Sans" w:eastAsia="Open Sans" w:hAnsi="Open Sans"/>
          <w:b w:val="false"/>
          <w:bCs w:val="false"/>
          <w:i w:val="false"/>
          <w:iCs w:val="false"/>
          <w:color w:val="595959"/>
          <w:sz w:val="20"/>
          <w:szCs w:val="20"/>
        </w:rPr>
        <w:t xml:space="preserve">Its central commitment is that programs are built from parts, and that the parts have to be designed. Functions and modules give the first answer to that problem. Objects give the second, and the more consequential one: data and the operations on it held together, with the boundaries between parts made explicit. The module teaches object-oriented programming as a way of organising a program, not as syntax to be memorised, because everything the carrying pathways build in Year 2 assumes a student who thinks in these terms. Six modules on the Software Engineering pathway alone open on that assumption.</w:t>
      </w:r>
    </w:p>
    <w:p>
      <w:pPr>
        <w:spacing w:after="100" w:before="100"/>
      </w:pPr>
      <w:r>
        <w:rPr>
          <w:rFonts w:ascii="Open Sans" w:cs="Open Sans" w:eastAsia="Open Sans" w:hAnsi="Open Sans"/>
          <w:b w:val="false"/>
          <w:bCs w:val="false"/>
          <w:i w:val="false"/>
          <w:iCs w:val="false"/>
          <w:color w:val="595959"/>
          <w:sz w:val="20"/>
          <w:szCs w:val="20"/>
        </w:rPr>
        <w:t xml:space="preserve">The treatment is deliberately paced for a foundationally varied cohort. Concepts are introduced with a worked reason for existing before the mechanism is shown, and the laboratory allocation carries the practice load. The module does not chase breadth. It teaches a small number of ideas until they are usable.</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programming fundamentals in a production language; the pathway working language and its development tooling; control structures, functions and modular organisation; core data structures in code, including collections; object-oriented programming - classes and objects, encapsulation, inheritance, polymorphism and interface-style abstraction, expressed in the pathway working language; program design, testing and debugging practice.</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data-structure and algorithm implementation depth (Programming, Data Structures and Algorithms I); object-oriented design method, architectural styles and design patterns (owners named in each pathway's records); secure-coding depth (owners named in each pathway's records); pathway-owned applied stacks.</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Write, test and debug structured programs in the working language, using control structures, functions and modular organisation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1, 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object-oriented programming to organise a program, selecting and defining appropriate types for a given problem</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1, 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Use core data structures, including collections, to hold and manipulate data in code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Render an algorithmic design as working code, explaining the choices made in translation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Analyse (Bloom); K-SAM 2,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Demonstrate disciplined development practice: testing habits, error handling and systematic debugging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 6</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Counterpart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Algorithmic Thinking (Tier 1 common)</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Co-runs. Designs and pseudocode are produced there and rendered in code here. Complexity intuition is theirs; implementation is 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Programming, Data Structures and Algorithms I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bound pair. This module supplies the object model, collections literacy and construction fluency that PDSA I assumes whole; PDSA I implements structures at depth and re-implements nothing taught here. The dependency is load-bearing in both languages.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Software Architecture Foundations, Enterprise Application Development, Software Engineering and Systems Analysis, Mobile Application Development I, Software Quality and Testing (CS(SE))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open on the object model established here. Design method, architectural styles and design patterns are theirs; the objects those patterns arrange are ours. The does-NOT-cover line polices the seam from this side.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Applied Data Exploration, Web and API Technologies, Machine Learning Engineering (CS(AI&amp;DS))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Consume Python fluency, control and data structures, functions and modularity. The object strand is carried as general programming literacy; no AI&amp;DS module assumes it as a prerequisite.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Programming for Data and Analytics (ITB)</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ITB override. Core alignment is claimed against the control, functions and data-structures core only, and not against the object strand, which ITB excludes by design. Outbound transfer counselling reflects this.</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Curriculum and Delivery</w:t>
      </w:r>
    </w:p>
    <w:p>
      <w:pPr>
        <w:spacing w:after="90" w:before="220"/>
      </w:pPr>
      <w:r>
        <w:rPr>
          <w:rFonts w:ascii="Open Sans" w:cs="Open Sans" w:eastAsia="Open Sans" w:hAnsi="Open Sans"/>
          <w:b/>
          <w:bCs/>
          <w:i w:val="false"/>
          <w:iCs w:val="false"/>
          <w:color w:val="333333"/>
          <w:sz w:val="21"/>
          <w:szCs w:val="21"/>
        </w:rPr>
        <w:t xml:space="preserve">Indicative Syllabus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Unit</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Content</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Lecture 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working environment: tooling, editing, running and compiling; how a program becomes a running process; a first look at memory and at C as the reference point for what the working language manages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Variables, types and expressions; control structures: selection, iteration, and the shape of a well-formed block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Functions and modular organisation: parameters, return values, scope; organising a program into parts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Object-oriented programming I: why objects exist; classes and objects; state and behaviour held together; encapsulation and the boundary of a type; defining types for a stated problem</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Object-oriented programming II: inheritance and the reuse of behaviour; polymorphism; interface-style abstraction and programming to a contract; when not to reach for inheritance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U6</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Core data structures in code: sequences, mappings and strings; collections in the working language and the operations they support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U7</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File handling and simple input and output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U8</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Error handling, testing habits and systematic debugging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U9</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Integrative build: small structured programs written from algorithmic designs, using the object model where it earns its place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lecture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66</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66 lecture hours are delivered as 22 three-hour sessions. U4 and U5 carry the object strand at 9 hours combined, funded by the reductions to U3 and U6 agreed at Committee item 1. U5 is short by design: inheritance and polymorphism are introduced conceptually and exercised in the laboratory rather than lectured at length, and the 30 practical hours carry that load. The session plan is produced at teaching-plan stage.</w:t>
      </w:r>
    </w:p>
    <w:p>
      <w:pPr>
        <w:spacing w:after="90" w:before="220"/>
      </w:pPr>
      <w:r>
        <w:rPr>
          <w:rFonts w:ascii="Open Sans" w:cs="Open Sans" w:eastAsia="Open Sans" w:hAnsi="Open Sans"/>
          <w:b/>
          <w:bCs/>
          <w:i w:val="false"/>
          <w:iCs w:val="false"/>
          <w:color w:val="333333"/>
          <w:sz w:val="21"/>
          <w:szCs w:val="21"/>
        </w:rPr>
        <w:t xml:space="preserve">Teaching and Learning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Lectures (fixed)</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Tutorials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Practicals / Laboratory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30</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In-class assignments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Demonstration</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Self-guided study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74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200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The module is assessed from a single specification across both instantiations, with language-equivalent task sets moderated jointly each cycle. Task sets must exercise the object strand in both languages.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Outcomes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CW-Port</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Programming portfolio: a sequence of building tasks culminating in a small program organised around defined types, with a short written account of the design choices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out-of-class;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 LO4, LO5</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Supervised machine-based practical programming test; 2 hours, stated open resources, no communication tools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(supervised);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3249"/>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Total</w:t>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5"/>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Assessment note.</w:t>
      </w:r>
      <w:r>
        <w:rPr>
          <w:rFonts w:ascii="Open Sans" w:cs="Open Sans" w:eastAsia="Open Sans" w:hAnsi="Open Sans"/>
          <w:b w:val="false"/>
          <w:bCs w:val="false"/>
          <w:i w:val="false"/>
          <w:iCs w:val="false"/>
          <w:color w:val="595959"/>
          <w:sz w:val="20"/>
          <w:szCs w:val="20"/>
        </w:rPr>
        <w:t xml:space="preserve"> No written examination is carried. The module's outcomes are constructional and are evidenced by construction. The supervised practical test secures individual attribution for the portfolio strand.</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Liang, Y. D., *Introduction to Java Programming and Data Structures* - CS(SE) instantiation; foundational chapters and the object-oriented chapters within the boundary.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Matthes, E., *Python Crash Course* - CS(AI&amp;DS) instantiation; foundational chapters and the classes chapter within the boundary.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Downey, A. B., *Think Python* / *Think Java* - supporting text for the cohort-paced treatment.</w:t>
      </w:r>
    </w:p>
    <w:p>
      <w:pPr>
        <w:spacing w:after="40" w:before="40"/>
        <w:ind w:left="300" w:hanging="160"/>
      </w:pPr>
      <w:r>
        <w:rPr>
          <w:rFonts w:ascii="Open Sans" w:cs="Open Sans" w:eastAsia="Open Sans" w:hAnsi="Open Sans"/>
          <w:b w:val="false"/>
          <w:bCs w:val="false"/>
          <w:i w:val="false"/>
          <w:iCs w:val="false"/>
          <w:color w:val="595959"/>
          <w:sz w:val="20"/>
          <w:szCs w:val="20"/>
        </w:rPr>
        <w:t xml:space="preserve">•  Kernighan, B. W. and Ritchie, D. M., *The C Programming Language* - U1 reference use only, for the memory strand.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NB-SOCE-L3-CC-TT-01  ·  Programming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Programming Concepts</dc:title>
  <dc:creator>NIBM School of Computing and Engineering</dc:creator>
  <cp:lastModifiedBy>Un-named</cp:lastModifiedBy>
  <cp:revision>1</cp:revision>
  <dcterms:created xsi:type="dcterms:W3CDTF">2026-08-13T06:30:23.017Z</dcterms:created>
  <dcterms:modified xsi:type="dcterms:W3CDTF">2026-08-13T06:30:23.018Z</dcterms:modified>
</cp:coreProperties>
</file>

<file path=docProps/custom.xml><?xml version="1.0" encoding="utf-8"?>
<Properties xmlns="http://schemas.openxmlformats.org/officeDocument/2006/custom-properties" xmlns:vt="http://schemas.openxmlformats.org/officeDocument/2006/docPropsVTypes"/>
</file>