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6"/>
          <w:szCs w:val="26"/>
        </w:rPr>
        <w:t xml:space="preserve">National Institute of Business Management</w:t>
      </w:r>
    </w:p>
    <w:p>
      <w:pPr>
        <w:spacing w:after="26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767676"/>
          <w:sz w:val="20"/>
          <w:szCs w:val="20"/>
        </w:rPr>
        <w:t xml:space="preserve">School of Computing and Engineering</w:t>
      </w:r>
    </w:p>
    <w:p>
      <w:pPr>
        <w:spacing w:after="60" w:before="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32"/>
          <w:szCs w:val="32"/>
        </w:rPr>
        <w:t xml:space="preserve">Module Descriptor - Data Models and Management Systems</w:t>
      </w:r>
    </w:p>
    <w:p>
      <w:pPr>
        <w:spacing w:after="22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767676"/>
          <w:sz w:val="19"/>
          <w:szCs w:val="19"/>
        </w:rPr>
        <w:t xml:space="preserve">NB-SOCE-L3-CC-TT-02  ·  undefined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708"/>
        <w:gridCol w:w="6318"/>
      </w:tblGrid>
      <w:tr>
        <w:trPr>
          <w:tblHeader/>
        </w:trPr>
        <w:tc>
          <w:tcPr>
            <w:tcW w:type="dxa" w:w="27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Field</w:t>
            </w:r>
          </w:p>
        </w:tc>
        <w:tc>
          <w:tcPr>
            <w:tcW w:type="dxa" w:w="631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Draft for Review - v1.2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Purpose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Specification-stage module descriptor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SOCE Curriculum Committee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Date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August 2026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Authoritative sources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School curriculum decision records; the Sri Lanka Qualifications Framework (University Grants Commission, 2015)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Applies to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The pathway named above</w:t>
            </w:r>
          </w:p>
        </w:tc>
      </w:tr>
    </w:tbl>
    <w:p>
      <w:pPr>
        <w:spacing w:after="120" w:before="120"/>
      </w:pPr>
      <w:r>
        <w:rPr>
          <w:rFonts w:ascii="Open Sans" w:cs="Open Sans" w:eastAsia="Open Sans" w:hAnsi="Open Sans"/>
          <w:sz w:val="20"/>
          <w:szCs w:val="20"/>
        </w:rPr>
        <w:t xml:space="preserve"/>
      </w:r>
    </w:p>
    <w:p>
      <w:pPr>
        <w:pBdr>
          <w:bottom w:val="single" w:color="BFBFBF" w:sz="6"/>
        </w:pBdr>
        <w:spacing w:after="120" w:before="30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4"/>
          <w:szCs w:val="24"/>
        </w:rPr>
        <w:t xml:space="preserve">Module Identity and Architecture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708"/>
        <w:gridCol w:w="6318"/>
      </w:tblGrid>
      <w:tr>
        <w:trPr>
          <w:tblHeader/>
        </w:trPr>
        <w:tc>
          <w:tcPr>
            <w:tcW w:type="dxa" w:w="27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Field</w:t>
            </w:r>
          </w:p>
        </w:tc>
        <w:tc>
          <w:tcPr>
            <w:tcW w:type="dxa" w:w="631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Module code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NB-SOCE-L3-CC-TT-02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Module title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Data Models and Management Systems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Scope / type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Cluster common (Tier 2) · Common / Taught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SLQF level / credits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Level 3 (Year 1) · 4 credits · 200 notional hours (1 credit = 50 hours)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Carried by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CS(SE), CS(AI&amp;DS), ITB - the School's single SQL teach-source (the current cycle close a reconciliation check). NEC does not carry it (its Data Management and Security module owns data protection and secure operations, not modelling instruction).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Prerequisites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None beyond the Tier 1 base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Delivery mode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Session-based: 3-hour blocks; 22 lecture sessions plus tutorials, practicals and demonstration per the hours profile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Hours profile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Taught 4-credit (A-4)</w:t>
            </w:r>
          </w:p>
        </w:tc>
      </w:tr>
    </w:tbl>
    <w:p>
      <w:pPr>
        <w:spacing w:after="80" w:before="0"/>
      </w:pPr>
      <w:r>
        <w:rPr>
          <w:rFonts w:ascii="Open Sans" w:cs="Open Sans" w:eastAsia="Open Sans" w:hAnsi="Open Sans"/>
          <w:sz w:val="20"/>
          <w:szCs w:val="20"/>
        </w:rPr>
        <w:t xml:space="preserve"/>
      </w:r>
    </w:p>
    <w:p>
      <w:pPr>
        <w:pBdr>
          <w:bottom w:val="single" w:color="BFBFBF" w:sz="6"/>
        </w:pBdr>
        <w:spacing w:after="120" w:before="30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4"/>
          <w:szCs w:val="24"/>
        </w:rPr>
        <w:t xml:space="preserve">Module Purpose and Aims</w:t>
      </w:r>
    </w:p>
    <w:p>
      <w:pPr>
        <w:spacing w:after="100" w:before="10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20"/>
          <w:szCs w:val="20"/>
        </w:rPr>
        <w:t xml:space="preserve">To establish how data is modelled, stored, queried and managed: entity-relationship and relational thinking, substantial SQL practice as the emphasis of the fourth credit, DBMS fundamentals at use level, and a systems view of storage and retrieval across structured and semi-structured data. The module is the cluster's single SQL teach-source; every carrier consumes rather than re-teaches.</w:t>
      </w:r>
    </w:p>
    <w:p>
      <w:pPr>
        <w:spacing w:after="90" w:before="22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1"/>
          <w:szCs w:val="21"/>
        </w:rPr>
        <w:t xml:space="preserve">Specification Boundary )</w:t>
      </w:r>
    </w:p>
    <w:p>
      <w:pPr>
        <w:pBdr>
          <w:left w:val="single" w:color="BFBFBF" w:sz="12"/>
        </w:pBdr>
        <w:spacing w:after="60" w:before="60"/>
        <w:ind w:left="3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19"/>
          <w:szCs w:val="19"/>
        </w:rPr>
        <w:t xml:space="preserve">Covers: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19"/>
          <w:szCs w:val="19"/>
        </w:rPr>
        <w:t xml:space="preserve"> data-modelling concepts; relational-model foundations; structured and semi-structured data; a systems view of how data is stored and retrieved; DBMS fundamentals with SQL practice as the emphasis of the fourth credit.</w:t>
      </w:r>
    </w:p>
    <w:p>
      <w:pPr>
        <w:pBdr>
          <w:left w:val="single" w:color="BFBFBF" w:sz="12"/>
        </w:pBdr>
        <w:spacing w:after="60" w:before="60"/>
        <w:ind w:left="3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19"/>
          <w:szCs w:val="19"/>
        </w:rPr>
        <w:t xml:space="preserve">Does NOT cover: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19"/>
          <w:szCs w:val="19"/>
        </w:rPr>
        <w:t xml:space="preserve"> data-engineering and pipeline depth; production database administration (use and querying are in; administration remains out); relational schema design and normalisation at engineering level (owner: the pathway data-engineering provision where carried) [an agreed amendment, adopted 19 Jul 2026].</w:t>
      </w:r>
    </w:p>
    <w:p>
      <w:pPr>
        <w:pBdr>
          <w:left w:val="single" w:color="BFBFBF" w:sz="12"/>
        </w:pBdr>
        <w:spacing w:after="60" w:before="60"/>
        <w:ind w:left="30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19"/>
          <w:szCs w:val="19"/>
        </w:rPr>
        <w:t xml:space="preserve">Changes to this boundary are made only through the School's formal change-control process.</w:t>
      </w:r>
    </w:p>
    <w:p>
      <w:pPr>
        <w:pBdr>
          <w:bottom w:val="single" w:color="BFBFBF" w:sz="6"/>
        </w:pBdr>
        <w:spacing w:after="120" w:before="30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4"/>
          <w:szCs w:val="24"/>
        </w:rPr>
        <w:t xml:space="preserve">Learning Outcomes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444"/>
        <w:gridCol w:w="6138"/>
        <w:gridCol w:w="1444"/>
      </w:tblGrid>
      <w:tr>
        <w:trPr>
          <w:tblHeader/>
        </w:trPr>
        <w:tc>
          <w:tcPr>
            <w:tcW w:type="dxa" w:w="144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Ref</w:t>
            </w:r>
          </w:p>
        </w:tc>
        <w:tc>
          <w:tcPr>
            <w:tcW w:type="dxa" w:w="613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Intended Learning Outcome</w:t>
            </w:r>
          </w:p>
        </w:tc>
        <w:tc>
          <w:tcPr>
            <w:tcW w:type="dxa" w:w="144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Register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LO1</w:t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Model data using entity-relationship and relational concepts.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Apply (Bloom); K-SAM 1, 2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LO2</w:t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Write SQL queries over relational data, including joins, aggregation and subqueries.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Apply (Bloom); K-SAM 2, 7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LO3</w:t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Explain the role and core functions of a database management system, including transactions and access control at awareness level.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Understand (Bloom); K-SAM 1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LO4</w:t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Interpret how structured and semi-structured data are stored and retrieved within systems.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Understand / Apply (Bloom); K-SAM 1, 2</w:t>
            </w:r>
          </w:p>
        </w:tc>
      </w:tr>
    </w:tbl>
    <w:p>
      <w:pPr>
        <w:spacing w:after="80" w:before="0"/>
      </w:pPr>
      <w:r>
        <w:rPr>
          <w:rFonts w:ascii="Open Sans" w:cs="Open Sans" w:eastAsia="Open Sans" w:hAnsi="Open Sans"/>
          <w:sz w:val="20"/>
          <w:szCs w:val="20"/>
        </w:rPr>
        <w:t xml:space="preserve"/>
      </w:r>
    </w:p>
    <w:p>
      <w:pPr>
        <w:spacing w:after="90" w:before="22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1"/>
          <w:szCs w:val="21"/>
        </w:rPr>
        <w:t xml:space="preserve">Integrative Points and Seams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708"/>
        <w:gridCol w:w="6318"/>
      </w:tblGrid>
      <w:tr>
        <w:trPr>
          <w:tblHeader/>
        </w:trPr>
        <w:tc>
          <w:tcPr>
            <w:tcW w:type="dxa" w:w="27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Pathway</w:t>
            </w:r>
          </w:p>
        </w:tc>
        <w:tc>
          <w:tcPr>
            <w:tcW w:type="dxa" w:w="631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Integrative point / seam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CS(SE)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SQL and modelling applied in Enterprise Application Development; no re-teaching.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CS(AI&amp;DS)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The first half of the policed two-module relational chain: Data Engineering and Pipelines carries schema design and normalisation at engineering level and consumes this module's SQL base.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ITB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Programming for Data and Analytics consumes SQL programmatically in applied data work; instruction lives here (ITB boundary obligation 3).</w:t>
            </w:r>
          </w:p>
        </w:tc>
      </w:tr>
    </w:tbl>
    <w:p>
      <w:pPr>
        <w:spacing w:after="80" w:before="0"/>
      </w:pPr>
      <w:r>
        <w:rPr>
          <w:rFonts w:ascii="Open Sans" w:cs="Open Sans" w:eastAsia="Open Sans" w:hAnsi="Open Sans"/>
          <w:sz w:val="20"/>
          <w:szCs w:val="20"/>
        </w:rPr>
        <w:t xml:space="preserve"/>
      </w:r>
    </w:p>
    <w:p>
      <w:pPr>
        <w:pBdr>
          <w:bottom w:val="single" w:color="BFBFBF" w:sz="6"/>
        </w:pBdr>
        <w:spacing w:after="120" w:before="30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4"/>
          <w:szCs w:val="24"/>
        </w:rPr>
        <w:t xml:space="preserve">Curriculum and Delivery</w:t>
      </w:r>
    </w:p>
    <w:p>
      <w:pPr>
        <w:spacing w:after="90" w:before="22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1"/>
          <w:szCs w:val="21"/>
        </w:rPr>
        <w:t xml:space="preserve">Indicative Syllabus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444"/>
        <w:gridCol w:w="6138"/>
        <w:gridCol w:w="1444"/>
      </w:tblGrid>
      <w:tr>
        <w:trPr>
          <w:tblHeader/>
        </w:trPr>
        <w:tc>
          <w:tcPr>
            <w:tcW w:type="dxa" w:w="144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Unit</w:t>
            </w:r>
          </w:p>
        </w:tc>
        <w:tc>
          <w:tcPr>
            <w:tcW w:type="dxa" w:w="613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Content</w:t>
            </w:r>
          </w:p>
        </w:tc>
        <w:tc>
          <w:tcPr>
            <w:tcW w:type="dxa" w:w="144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Lecture hours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U1</w:t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Data and the modelling view: entities, attributes, relationships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9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U2</w:t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The relational model: relations, keys and integrity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U3</w:t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SQL practice I: single-table querying, filtering, ordering, functions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U4</w:t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SQL practice II: joins, aggregation, grouping and subqueries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U5</w:t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DBMS fundamentals: services of a DBMS, transactions and access control at use level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9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U6</w:t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Structured and semi-structured data; the systems view of storage and retrieval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U7</w:t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Integrative practice: from model to query on realistic cases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sz w:val="18"/>
                <w:szCs w:val="18"/>
              </w:rPr>
              <w:t xml:space="preserve"/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Total lecture hours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66</w:t>
            </w:r>
          </w:p>
        </w:tc>
      </w:tr>
    </w:tbl>
    <w:p>
      <w:pPr>
        <w:spacing w:after="80" w:before="0"/>
      </w:pPr>
      <w:r>
        <w:rPr>
          <w:rFonts w:ascii="Open Sans" w:cs="Open Sans" w:eastAsia="Open Sans" w:hAnsi="Open Sans"/>
          <w:sz w:val="20"/>
          <w:szCs w:val="20"/>
        </w:rPr>
        <w:t xml:space="preserve"/>
      </w:r>
    </w:p>
    <w:p>
      <w:pPr>
        <w:spacing w:after="100" w:before="10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20"/>
          <w:szCs w:val="20"/>
        </w:rPr>
        <w:t xml:space="preserve">66 lecture hours are delivered as 22 three-hour sessions. U3, U4 and U7 total 30 lecture hours of direct SQL practice, with the practicals allocation adding hands-on laboratory time - the visible form of the fourth-credit emphasis.</w:t>
      </w:r>
    </w:p>
    <w:p>
      <w:pPr>
        <w:spacing w:after="90" w:before="22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1"/>
          <w:szCs w:val="21"/>
        </w:rPr>
        <w:t xml:space="preserve">Teaching and Learning Hours (SLQF)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708"/>
        <w:gridCol w:w="6318"/>
      </w:tblGrid>
      <w:tr>
        <w:trPr>
          <w:tblHeader/>
        </w:trPr>
        <w:tc>
          <w:tcPr>
            <w:tcW w:type="dxa" w:w="27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Component</w:t>
            </w:r>
          </w:p>
        </w:tc>
        <w:tc>
          <w:tcPr>
            <w:tcW w:type="dxa" w:w="631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Hours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Lectures (fixed)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66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Tutorials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Practicals / Laboratory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In-class assignments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9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Demonstration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Self-guided study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74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Total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200</w:t>
            </w:r>
          </w:p>
        </w:tc>
      </w:tr>
    </w:tbl>
    <w:p>
      <w:pPr>
        <w:spacing w:after="80" w:before="0"/>
      </w:pPr>
      <w:r>
        <w:rPr>
          <w:rFonts w:ascii="Open Sans" w:cs="Open Sans" w:eastAsia="Open Sans" w:hAnsi="Open Sans"/>
          <w:sz w:val="20"/>
          <w:szCs w:val="20"/>
        </w:rPr>
        <w:t xml:space="preserve"/>
      </w:r>
    </w:p>
    <w:p>
      <w:pPr>
        <w:pBdr>
          <w:bottom w:val="single" w:color="BFBFBF" w:sz="6"/>
        </w:pBdr>
        <w:spacing w:after="120" w:before="30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4"/>
          <w:szCs w:val="24"/>
        </w:rPr>
        <w:t xml:space="preserve">Assessment</w:t>
      </w:r>
    </w:p>
    <w:p>
      <w:pPr>
        <w:spacing w:after="100" w:before="10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20"/>
          <w:szCs w:val="20"/>
        </w:rPr>
        <w:t xml:space="preserve">Components per the Assessment Component Taxonomy (the School's assessment component taxonomy); weightings confirmed at specification sign-off. No formal examination is carried where none is listed.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444"/>
        <w:gridCol w:w="3249"/>
        <w:gridCol w:w="1444"/>
        <w:gridCol w:w="1444"/>
        <w:gridCol w:w="1445"/>
      </w:tblGrid>
      <w:tr>
        <w:trPr>
          <w:tblHeader/>
        </w:trPr>
        <w:tc>
          <w:tcPr>
            <w:tcW w:type="dxa" w:w="144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Component code</w:t>
            </w:r>
          </w:p>
        </w:tc>
        <w:tc>
          <w:tcPr>
            <w:tcW w:type="dxa" w:w="3249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Task</w:t>
            </w:r>
          </w:p>
        </w:tc>
        <w:tc>
          <w:tcPr>
            <w:tcW w:type="dxa" w:w="144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Attributes</w:t>
            </w:r>
          </w:p>
        </w:tc>
        <w:tc>
          <w:tcPr>
            <w:tcW w:type="dxa" w:w="144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ILOs</w:t>
            </w:r>
          </w:p>
        </w:tc>
        <w:tc>
          <w:tcPr>
            <w:tcW w:type="dxa" w:w="1445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Weight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CW-I-Home</w:t>
            </w:r>
          </w:p>
        </w:tc>
        <w:tc>
          <w:tcPr>
            <w:tcW w:type="dxa" w:w="324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Modelling-to-query practical: an entity-relationship model built and queried in SQL over a realistic case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Individual; take-home; graded; oral vehicle: None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LO1, LO2, LO4</w:t>
            </w:r>
          </w:p>
        </w:tc>
        <w:tc>
          <w:tcPr>
            <w:tcW w:type="dxa" w:w="144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50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EX</w:t>
            </w:r>
          </w:p>
        </w:tc>
        <w:tc>
          <w:tcPr>
            <w:tcW w:type="dxa" w:w="324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Written examination including an SQL-writing section and DBMS concepts; 2 hours, closed resources, invigilated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Individual; in-class; graded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LO2, LO3</w:t>
            </w:r>
          </w:p>
        </w:tc>
        <w:tc>
          <w:tcPr>
            <w:tcW w:type="dxa" w:w="144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50</w:t>
            </w:r>
          </w:p>
        </w:tc>
      </w:tr>
    </w:tbl>
    <w:p>
      <w:pPr>
        <w:spacing w:after="80" w:before="0"/>
      </w:pPr>
      <w:r>
        <w:rPr>
          <w:rFonts w:ascii="Open Sans" w:cs="Open Sans" w:eastAsia="Open Sans" w:hAnsi="Open Sans"/>
          <w:sz w:val="20"/>
          <w:szCs w:val="20"/>
        </w:rPr>
        <w:t xml:space="preserve"/>
      </w:r>
    </w:p>
    <w:p>
      <w:pPr>
        <w:spacing w:after="100" w:before="10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20"/>
          <w:szCs w:val="20"/>
        </w:rPr>
        <w:t xml:space="preserve">Reassessment: by the failed component only, with an equivalent task, per School regulations. All assessment under the academic integrity policy including its generative-AI provisions; module-level AI stance at teaching-plan stage.</w:t>
      </w:r>
    </w:p>
    <w:p>
      <w:pPr>
        <w:pBdr>
          <w:bottom w:val="single" w:color="BFBFBF" w:sz="6"/>
        </w:pBdr>
        <w:spacing w:after="120" w:before="30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4"/>
          <w:szCs w:val="24"/>
        </w:rPr>
        <w:t xml:space="preserve">Resources, Staff and Governance</w:t>
      </w:r>
    </w:p>
    <w:p>
      <w:pPr>
        <w:spacing w:after="90" w:before="22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1"/>
          <w:szCs w:val="21"/>
        </w:rPr>
        <w:t xml:space="preserve">Indicative Reading</w:t>
      </w:r>
    </w:p>
    <w:p>
      <w:pPr>
        <w:spacing w:after="40" w:before="40"/>
        <w:ind w:left="300" w:hanging="16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20"/>
          <w:szCs w:val="20"/>
        </w:rPr>
        <w:t xml:space="preserve">•  Elmasri, R. and Navathe, S. B., Fundamentals of Database Systems (Pearson) - selected foundational chapters within the boundary.</w:t>
      </w:r>
    </w:p>
    <w:p>
      <w:pPr>
        <w:spacing w:after="40" w:before="40"/>
        <w:ind w:left="300" w:hanging="16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20"/>
          <w:szCs w:val="20"/>
        </w:rPr>
        <w:t xml:space="preserve">•  Connolly, T. and Begg, C., Database Systems (Pearson) - alternative text, selected chapters.</w:t>
      </w:r>
    </w:p>
    <w:p>
      <w:pPr>
        <w:spacing w:after="40" w:before="40"/>
        <w:ind w:left="300" w:hanging="16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20"/>
          <w:szCs w:val="20"/>
        </w:rPr>
        <w:t xml:space="preserve">•  School-produced SQL practice sets and the realistic-case pack for U7, confirmed at teaching-plan stage.</w:t>
      </w:r>
    </w:p>
    <w:p>
      <w:pPr>
        <w:spacing w:after="90" w:before="22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1"/>
          <w:szCs w:val="21"/>
        </w:rPr>
        <w:t xml:space="preserve">Staffing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444"/>
        <w:gridCol w:w="6138"/>
        <w:gridCol w:w="1444"/>
      </w:tblGrid>
      <w:tr>
        <w:trPr>
          <w:tblHeader/>
        </w:trPr>
        <w:tc>
          <w:tcPr>
            <w:tcW w:type="dxa" w:w="144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  <w:tc>
          <w:tcPr>
            <w:tcW w:type="dxa" w:w="613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Name</w:t>
            </w:r>
          </w:p>
        </w:tc>
        <w:tc>
          <w:tcPr>
            <w:tcW w:type="dxa" w:w="144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Domain credential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Module leader 1</w:t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sz w:val="18"/>
                <w:szCs w:val="18"/>
              </w:rPr>
              <w:t xml:space="preserve"/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Module leader 2</w:t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sz w:val="18"/>
                <w:szCs w:val="18"/>
              </w:rPr>
              <w:t xml:space="preserve"/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External module auditor</w:t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sz w:val="18"/>
                <w:szCs w:val="18"/>
              </w:rPr>
              <w:t xml:space="preserve"/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Open Sans" w:cs="Open Sans" w:eastAsia="Open Sans" w:hAnsi="Open Sans"/>
          <w:sz w:val="20"/>
          <w:szCs w:val="20"/>
        </w:rPr>
        <w:t xml:space="preserve"/>
      </w:r>
    </w:p>
    <w:p>
      <w:pPr>
        <w:spacing w:after="100" w:before="1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0"/>
          <w:szCs w:val="20"/>
        </w:rPr>
        <w:t xml:space="preserve">Domain-expertise statement: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20"/>
          <w:szCs w:val="20"/>
        </w:rPr>
        <w:t xml:space="preserve"> Taught from database-systems expertise with current SQL practice; generic delivery is non-compliant.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Open Sans" w:cs="Open Sans" w:eastAsia="Open Sans" w:hAnsi="Open Sans"/>
        <w:color w:val="767676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6"/>
      </w:pBdr>
      <w:spacing w:after="0" w:before="0"/>
    </w:pPr>
    <w:r>
      <w:rPr>
        <w:rFonts w:ascii="Open Sans" w:cs="Open Sans" w:eastAsia="Open Sans" w:hAnsi="Open Sans"/>
        <w:b w:val="false"/>
        <w:bCs w:val="false"/>
        <w:i w:val="false"/>
        <w:iCs w:val="false"/>
        <w:color w:val="767676"/>
        <w:sz w:val="16"/>
        <w:szCs w:val="16"/>
      </w:rPr>
      <w:t xml:space="preserve">NB-SOCE-L3-CC-TT-02  ·  Data Models and Management Systems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Descriptor - Data Models and Management Systems</dc:title>
  <dc:creator>NIBM School of Computing and Engineering</dc:creator>
  <cp:lastModifiedBy>Un-named</cp:lastModifiedBy>
  <cp:revision>1</cp:revision>
  <dcterms:created xsi:type="dcterms:W3CDTF">2026-08-13T06:30:23.352Z</dcterms:created>
  <dcterms:modified xsi:type="dcterms:W3CDTF">2026-08-13T06:30:23.353Z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