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Open Sans" w:cs="Open Sans" w:eastAsia="Open Sans" w:hAnsi="Open Sans"/>
          <w:b/>
          <w:bCs/>
          <w:i w:val="false"/>
          <w:iCs w:val="false"/>
          <w:color w:val="333333"/>
          <w:sz w:val="26"/>
          <w:szCs w:val="26"/>
        </w:rPr>
        <w:t xml:space="preserve">National Institute of Business Management</w:t>
      </w:r>
    </w:p>
    <w:p>
      <w:pPr>
        <w:spacing w:after="260" w:before="0"/>
      </w:pPr>
      <w:r>
        <w:rPr>
          <w:rFonts w:ascii="Open Sans" w:cs="Open Sans" w:eastAsia="Open Sans" w:hAnsi="Open Sans"/>
          <w:b w:val="false"/>
          <w:bCs w:val="false"/>
          <w:i w:val="false"/>
          <w:iCs w:val="false"/>
          <w:color w:val="767676"/>
          <w:sz w:val="20"/>
          <w:szCs w:val="20"/>
        </w:rPr>
        <w:t xml:space="preserve">School of Computing and Engineering</w:t>
      </w:r>
    </w:p>
    <w:p>
      <w:pPr>
        <w:spacing w:after="60" w:before="0"/>
      </w:pPr>
      <w:r>
        <w:rPr>
          <w:rFonts w:ascii="Open Sans" w:cs="Open Sans" w:eastAsia="Open Sans" w:hAnsi="Open Sans"/>
          <w:b/>
          <w:bCs/>
          <w:i w:val="false"/>
          <w:iCs w:val="false"/>
          <w:color w:val="333333"/>
          <w:sz w:val="32"/>
          <w:szCs w:val="32"/>
        </w:rPr>
        <w:t xml:space="preserve">Module Descriptor - Effective Communication Skills I</w:t>
      </w:r>
    </w:p>
    <w:p>
      <w:pPr>
        <w:spacing w:after="220" w:before="0"/>
      </w:pPr>
      <w:r>
        <w:rPr>
          <w:rFonts w:ascii="Open Sans" w:cs="Open Sans" w:eastAsia="Open Sans" w:hAnsi="Open Sans"/>
          <w:b w:val="false"/>
          <w:bCs w:val="false"/>
          <w:i w:val="false"/>
          <w:iCs w:val="false"/>
          <w:color w:val="767676"/>
          <w:sz w:val="19"/>
          <w:szCs w:val="19"/>
        </w:rPr>
        <w:t xml:space="preserve">NB-SOCE-L3-CM-IS-01  ·  Institution-Wide Common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Document status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Draft for Review - v1.1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Purpose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Specification-stage module descriptor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Prepared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SOCE Curriculum Committee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Date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August 2026</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Authoritative sources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School curriculum decision records; the Sri Lanka Qualifications Framework (University Grants Commission, 2015)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Applies to</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carrying SOCE pathways - held in common</w:t>
            </w:r>
          </w:p>
        </w:tc>
      </w:tr>
    </w:tbl>
    <w:p>
      <w:pPr>
        <w:spacing w:after="120" w:before="12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Identity and Architecture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Field</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Value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code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NB-SOCE-L3-CM-IS-01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title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Scope / type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Institution-wide common · Common / Integrative Skills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SLQF level / credits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Level 3 (Year 1) · 2 credits · 100 notional hours (1 credit = 50 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Carried by</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CS(SE), CS(AI&amp;DS), ITB, NEC</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Exit-award relevance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Diploma exit: communication competency evidence; portfolio pieces are TVEC-orientable artefacts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Prerequisites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None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Delivery mode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Workshop-based skills delivery: 15 workshop hours = 5 three-hour blocks, plus facilitated activities, coaching and independent work per the B profile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Hours profile</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Skills 2-credit (B-2), the School's hours model Scope compressed at specification stage by curriculum decision (re-banded 3 to 2)</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Module Purpose and Aims</w:t>
      </w:r>
    </w:p>
    <w:p>
      <w:pPr>
        <w:spacing w:after="100" w:before="100"/>
      </w:pPr>
      <w:r>
        <w:rPr>
          <w:rFonts w:ascii="Open Sans" w:cs="Open Sans" w:eastAsia="Open Sans" w:hAnsi="Open Sans"/>
          <w:b w:val="false"/>
          <w:bCs w:val="false"/>
          <w:i w:val="false"/>
          <w:iCs w:val="false"/>
          <w:color w:val="595959"/>
          <w:sz w:val="20"/>
          <w:szCs w:val="20"/>
        </w:rPr>
        <w:t xml:space="preserve">To build the foundational professional communication every School graduate needs from the first year: clear structured writing, confident spoken presentation, the habit of judging what an audience needs, and the ability to work communicatively inside a team.</w:t>
      </w:r>
    </w:p>
    <w:p>
      <w:pPr>
        <w:spacing w:after="100" w:before="100"/>
      </w:pPr>
      <w:r>
        <w:rPr>
          <w:rFonts w:ascii="Open Sans" w:cs="Open Sans" w:eastAsia="Open Sans" w:hAnsi="Open Sans"/>
          <w:b w:val="false"/>
          <w:bCs w:val="false"/>
          <w:i w:val="false"/>
          <w:iCs w:val="false"/>
          <w:color w:val="595959"/>
          <w:sz w:val="20"/>
          <w:szCs w:val="20"/>
        </w:rPr>
        <w:t xml:space="preserve">Delivery is workshop-based and practice-heavy. Students communicate about their own computing work from the start, so the artefacts they produce double as early portfolio evidence rather than as exercises discarded at the end of the module.</w:t>
      </w:r>
    </w:p>
    <w:p>
      <w:pPr>
        <w:spacing w:after="100" w:before="100"/>
      </w:pPr>
      <w:r>
        <w:rPr>
          <w:rFonts w:ascii="Open Sans" w:cs="Open Sans" w:eastAsia="Open Sans" w:hAnsi="Open Sans"/>
          <w:b w:val="false"/>
          <w:bCs w:val="false"/>
          <w:i w:val="false"/>
          <w:iCs w:val="false"/>
          <w:color w:val="595959"/>
          <w:sz w:val="20"/>
          <w:szCs w:val="20"/>
        </w:rPr>
        <w:t xml:space="preserve">The module is compact by design. It was reduced from 3 credits to 2 at specification stage, and it holds four strands in 100 notional hours. It teaches each until it is usable and does not attempt breadth beyond that.</w:t>
      </w:r>
    </w:p>
    <w:p>
      <w:pPr>
        <w:spacing w:after="90" w:before="220"/>
      </w:pPr>
      <w:r>
        <w:rPr>
          <w:rFonts w:ascii="Open Sans" w:cs="Open Sans" w:eastAsia="Open Sans" w:hAnsi="Open Sans"/>
          <w:b/>
          <w:bCs/>
          <w:i w:val="false"/>
          <w:iCs w:val="false"/>
          <w:color w:val="333333"/>
          <w:sz w:val="21"/>
          <w:szCs w:val="21"/>
        </w:rPr>
        <w:t xml:space="preserve">Specification Boundary</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Covers:</w:t>
      </w:r>
      <w:r>
        <w:rPr>
          <w:rFonts w:ascii="Open Sans" w:cs="Open Sans" w:eastAsia="Open Sans" w:hAnsi="Open Sans"/>
          <w:b w:val="false"/>
          <w:bCs w:val="false"/>
          <w:i w:val="false"/>
          <w:iCs w:val="false"/>
          <w:color w:val="595959"/>
          <w:sz w:val="19"/>
          <w:szCs w:val="19"/>
        </w:rPr>
        <w:t xml:space="preserve"> foundational written and spoken communication for academic and professional purposes; audience awareness and adaptation; introductory professional presentation; communication within a team.</w:t>
      </w:r>
    </w:p>
    <w:p>
      <w:pPr>
        <w:pBdr>
          <w:left w:val="single" w:color="BFBFBF" w:sz="12"/>
        </w:pBdr>
        <w:spacing w:after="60" w:before="60"/>
        <w:ind w:left="300"/>
      </w:pPr>
      <w:r>
        <w:rPr>
          <w:rFonts w:ascii="Open Sans" w:cs="Open Sans" w:eastAsia="Open Sans" w:hAnsi="Open Sans"/>
          <w:b/>
          <w:bCs/>
          <w:i w:val="false"/>
          <w:iCs w:val="false"/>
          <w:color w:val="595959"/>
          <w:sz w:val="19"/>
          <w:szCs w:val="19"/>
        </w:rPr>
        <w:t xml:space="preserve">Does NOT cover:</w:t>
      </w:r>
      <w:r>
        <w:rPr>
          <w:rFonts w:ascii="Open Sans" w:cs="Open Sans" w:eastAsia="Open Sans" w:hAnsi="Open Sans"/>
          <w:b w:val="false"/>
          <w:bCs w:val="false"/>
          <w:i w:val="false"/>
          <w:iCs w:val="false"/>
          <w:color w:val="595959"/>
          <w:sz w:val="19"/>
          <w:szCs w:val="19"/>
        </w:rPr>
        <w:t xml:space="preserve"> advanced interpersonal, reflective and workplace communication (Effective Communication Skills II, and NB5006CEM at Level 5); entrepreneurship and innovation content (CREST).</w:t>
      </w:r>
    </w:p>
    <w:p>
      <w:pPr>
        <w:pBdr>
          <w:left w:val="single" w:color="BFBFBF" w:sz="12"/>
        </w:pBdr>
        <w:spacing w:after="60" w:before="60"/>
        <w:ind w:left="300"/>
      </w:pPr>
      <w:r>
        <w:rPr>
          <w:rFonts w:ascii="Open Sans" w:cs="Open Sans" w:eastAsia="Open Sans" w:hAnsi="Open Sans"/>
          <w:b w:val="false"/>
          <w:bCs w:val="false"/>
          <w:i w:val="false"/>
          <w:iCs w:val="false"/>
          <w:color w:val="595959"/>
          <w:sz w:val="19"/>
          <w:szCs w:val="19"/>
        </w:rPr>
        <w:t xml:space="preserve">Changes to this boundary are made only through the School's formal change-control process.</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Learning Outcomes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Intended Learning Outcome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Register</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Produce clear, structured written communication for academic and professional purposes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Deliver a structured spoken presentation to a professional standard for the level</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Adapt communication to the audience and purpose at hand</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 5</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Communicate effectively within a team, including in meetings and shared written work</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Apply (Bloom); K-SAM 3, 4</w:t>
            </w:r>
          </w:p>
        </w:tc>
      </w:tr>
    </w:tbl>
    <w:p>
      <w:pPr>
        <w:spacing w:after="80" w:before="0"/>
      </w:pPr>
      <w:r>
        <w:rPr>
          <w:rFonts w:ascii="Open Sans" w:cs="Open Sans" w:eastAsia="Open Sans" w:hAnsi="Open Sans"/>
          <w:sz w:val="20"/>
          <w:szCs w:val="20"/>
        </w:rPr>
        <w:t xml:space="preserve"/>
      </w:r>
    </w:p>
    <w:p>
      <w:pPr>
        <w:spacing w:after="90" w:before="220"/>
      </w:pPr>
      <w:r>
        <w:rPr>
          <w:rFonts w:ascii="Open Sans" w:cs="Open Sans" w:eastAsia="Open Sans" w:hAnsi="Open Sans"/>
          <w:b/>
          <w:bCs/>
          <w:i w:val="false"/>
          <w:iCs w:val="false"/>
          <w:color w:val="333333"/>
          <w:sz w:val="21"/>
          <w:szCs w:val="21"/>
        </w:rPr>
        <w:t xml:space="preserve">Integrative Points and Seams</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Counterpart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Seam</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Effective Communication Skills II (Year 2)</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The advanced seat. Workplace and organisational communication, technical and business reporting, interview performance and reflective practice are owned there. This module stops at foundational competence.</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Creative Project (Year 1)</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Presentation practice built here is applied in the Creative Project demonstration; the team-communication strand supports the team build. Neither module re-teaches the other.</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All four pathways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Portfolio pieces are anchored in each student's own Year 1 module artefacts, so the evidence is pathway-authentic without the specification varying.</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Skills Programme and Delivery</w:t>
      </w:r>
    </w:p>
    <w:p>
      <w:pPr>
        <w:spacing w:after="90" w:before="220"/>
      </w:pPr>
      <w:r>
        <w:rPr>
          <w:rFonts w:ascii="Open Sans" w:cs="Open Sans" w:eastAsia="Open Sans" w:hAnsi="Open Sans"/>
          <w:b/>
          <w:bCs/>
          <w:i w:val="false"/>
          <w:iCs w:val="false"/>
          <w:color w:val="333333"/>
          <w:sz w:val="21"/>
          <w:szCs w:val="21"/>
        </w:rPr>
        <w:t xml:space="preserve">Workshop Programme</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Ref</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Theme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W1</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Foundations of professional communication: audience, purpose and the judgment of what to say</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W2</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Written communication: structure, clarity and the conventions of academic and professional writing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W3</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Spoken communication: preparing and structuring a presentation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W4</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Presentation practice: delivery, question handling and adaptation in the room</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W5</w:t>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Communication within a team: meetings, progress updates and shared written work</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3</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613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 workshop hours</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Workshops run as five three-hour blocks (the School's curriculum decisions session pattern). Facilitated activities (21 hours) are practice studios applying each theme to the student's own computing work; coaching sessions (9 hours) give structured feedback on developing portfolio pieces; independent work (55 hours) completes the portfolio.</w:t>
      </w:r>
    </w:p>
    <w:p>
      <w:pPr>
        <w:spacing w:after="90" w:before="220"/>
      </w:pPr>
      <w:r>
        <w:rPr>
          <w:rFonts w:ascii="Open Sans" w:cs="Open Sans" w:eastAsia="Open Sans" w:hAnsi="Open Sans"/>
          <w:b/>
          <w:bCs/>
          <w:i w:val="false"/>
          <w:iCs w:val="false"/>
          <w:color w:val="333333"/>
          <w:sz w:val="21"/>
          <w:szCs w:val="21"/>
        </w:rPr>
        <w:t xml:space="preserve">Engagement Hours (SLQF)</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2708"/>
        <w:gridCol w:w="6318"/>
      </w:tblGrid>
      <w:tr>
        <w:trPr>
          <w:tblHeader/>
        </w:trPr>
        <w:tc>
          <w:tcPr>
            <w:tcW w:type="dxa" w:w="270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w:t>
            </w:r>
          </w:p>
        </w:tc>
        <w:tc>
          <w:tcPr>
            <w:tcW w:type="dxa" w:w="631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Hours</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Taught workshops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Facilitated activities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21</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Coaching / feedback sessions</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9</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Independent work</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55</w:t>
            </w:r>
          </w:p>
        </w:tc>
      </w:tr>
      <w:tr>
        <w:trPr>
          <w:tblHeader w:val="false"/>
        </w:trPr>
        <w:tc>
          <w:tcPr>
            <w:tcW w:type="dxa" w:w="270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Total</w:t>
            </w:r>
          </w:p>
        </w:tc>
        <w:tc>
          <w:tcPr>
            <w:tcW w:type="dxa" w:w="6318"/>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Assessment</w:t>
      </w:r>
    </w:p>
    <w:p>
      <w:pPr>
        <w:spacing w:after="100" w:before="100"/>
      </w:pPr>
      <w:r>
        <w:rPr>
          <w:rFonts w:ascii="Open Sans" w:cs="Open Sans" w:eastAsia="Open Sans" w:hAnsi="Open Sans"/>
          <w:b w:val="false"/>
          <w:bCs w:val="false"/>
          <w:i w:val="false"/>
          <w:iCs w:val="false"/>
          <w:color w:val="595959"/>
          <w:sz w:val="20"/>
          <w:szCs w:val="20"/>
        </w:rPr>
        <w:t xml:space="preserve">Components per the Assessment Component Taxonomy (the School's assessment component taxonomy). Weightings confirmed at specification sign-off; no formal examination is carried by design.</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3249"/>
        <w:gridCol w:w="1444"/>
        <w:gridCol w:w="1444"/>
        <w:gridCol w:w="1445"/>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Component code</w:t>
            </w:r>
          </w:p>
        </w:tc>
        <w:tc>
          <w:tcPr>
            <w:tcW w:type="dxa" w:w="3249"/>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Task</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Attributes</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ILOs</w:t>
            </w:r>
          </w:p>
        </w:tc>
        <w:tc>
          <w:tcPr>
            <w:tcW w:type="dxa" w:w="1445"/>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Weight</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CW-I-Home</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Communication portfolio: two written artefacts, one in an academic register and one in a professional register, developed through the coaching cycle, with a short account of a team-based communication episode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take-home; graded; oral vehicle: None</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LO1, LO3, LO4</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60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CW-I-Class</w:t>
            </w:r>
          </w:p>
        </w:tc>
        <w:tc>
          <w:tcPr>
            <w:tcW w:type="dxa" w:w="3249"/>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Structured individual presentation delivered to a workshop audience, with question handling</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Individual; in-class; graded; oral vehicle: Presentation</w:t>
            </w:r>
          </w:p>
        </w:tc>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LO2, LO3</w:t>
            </w:r>
          </w:p>
        </w:tc>
        <w:tc>
          <w:tcPr>
            <w:tcW w:type="dxa" w:w="1445"/>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40</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3249"/>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Total</w:t>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5"/>
            <w:tcMar>
              <w:top w:type="dxa" w:w="80"/>
              <w:left w:type="dxa" w:w="120"/>
              <w:bottom w:type="dxa" w:w="80"/>
              <w:right w:type="dxa" w:w="120"/>
            </w:tcMar>
          </w:tcPr>
          <w:p>
            <w:pPr>
              <w:spacing w:after="20" w:before="20"/>
            </w:pPr>
            <w:r>
              <w:rPr>
                <w:rFonts w:ascii="Open Sans" w:cs="Open Sans" w:eastAsia="Open Sans" w:hAnsi="Open Sans"/>
                <w:b/>
                <w:bCs/>
                <w:i w:val="false"/>
                <w:iCs w:val="false"/>
                <w:color w:val="595959"/>
                <w:sz w:val="18"/>
                <w:szCs w:val="18"/>
              </w:rPr>
              <w:t xml:space="preserve">100</w:t>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val="false"/>
          <w:bCs w:val="false"/>
          <w:i w:val="false"/>
          <w:iCs w:val="false"/>
          <w:color w:val="595959"/>
          <w:sz w:val="20"/>
          <w:szCs w:val="20"/>
        </w:rPr>
        <w:t xml:space="preserve">Reassessment: by the failed component only, with an equivalent task, per School regulations. All assessment under the academic integrity policy including its generative-AI provisions; module-level stance set at teaching-plan stage.</w:t>
      </w:r>
    </w:p>
    <w:p>
      <w:pPr>
        <w:pBdr>
          <w:bottom w:val="single" w:color="BFBFBF" w:sz="6"/>
        </w:pBdr>
        <w:spacing w:after="120" w:before="300"/>
      </w:pPr>
      <w:r>
        <w:rPr>
          <w:rFonts w:ascii="Open Sans" w:cs="Open Sans" w:eastAsia="Open Sans" w:hAnsi="Open Sans"/>
          <w:b/>
          <w:bCs/>
          <w:i w:val="false"/>
          <w:iCs w:val="false"/>
          <w:color w:val="333333"/>
          <w:sz w:val="24"/>
          <w:szCs w:val="24"/>
        </w:rPr>
        <w:t xml:space="preserve">Resources, Staff and Governance</w:t>
      </w:r>
    </w:p>
    <w:p>
      <w:pPr>
        <w:spacing w:after="90" w:before="220"/>
      </w:pPr>
      <w:r>
        <w:rPr>
          <w:rFonts w:ascii="Open Sans" w:cs="Open Sans" w:eastAsia="Open Sans" w:hAnsi="Open Sans"/>
          <w:b/>
          <w:bCs/>
          <w:i w:val="false"/>
          <w:iCs w:val="false"/>
          <w:color w:val="333333"/>
          <w:sz w:val="21"/>
          <w:szCs w:val="21"/>
        </w:rPr>
        <w:t xml:space="preserve">Indicative Reading</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Sword, H., *Stylish Academic Writing* (Harvard University Press) - selected chapters on clarity and structure.</w:t>
      </w:r>
    </w:p>
    <w:p>
      <w:pPr>
        <w:spacing w:after="40" w:before="40"/>
        <w:ind w:left="300" w:hanging="160"/>
      </w:pPr>
      <w:r>
        <w:rPr>
          <w:rFonts w:ascii="Open Sans" w:cs="Open Sans" w:eastAsia="Open Sans" w:hAnsi="Open Sans"/>
          <w:b w:val="false"/>
          <w:bCs w:val="false"/>
          <w:i w:val="false"/>
          <w:iCs w:val="false"/>
          <w:color w:val="595959"/>
          <w:sz w:val="20"/>
          <w:szCs w:val="20"/>
        </w:rPr>
        <w:t xml:space="preserve">•  Reynolds, G., *Presentation Zen* (New Riders) - selected use for presentation structure and delivery.</w:t>
      </w:r>
    </w:p>
    <w:p>
      <w:pPr>
        <w:spacing w:after="40" w:before="40"/>
        <w:ind w:left="300" w:hanging="160"/>
      </w:pPr>
      <w:r>
        <w:rPr>
          <w:rFonts w:ascii="Open Sans" w:cs="Open Sans" w:eastAsia="Open Sans" w:hAnsi="Open Sans"/>
          <w:b w:val="false"/>
          <w:bCs w:val="false"/>
          <w:i w:val="false"/>
          <w:iCs w:val="false"/>
          <w:color w:val="595959"/>
          <w:sz w:val="20"/>
          <w:szCs w:val="20"/>
        </w:rPr>
        <w:t xml:space="preserve">•  School-produced communication workbook and portfolio brief, confirmed at teaching-plan stage.</w:t>
      </w:r>
    </w:p>
    <w:p>
      <w:pPr>
        <w:spacing w:after="90" w:before="220"/>
      </w:pPr>
      <w:r>
        <w:rPr>
          <w:rFonts w:ascii="Open Sans" w:cs="Open Sans" w:eastAsia="Open Sans" w:hAnsi="Open Sans"/>
          <w:b/>
          <w:bCs/>
          <w:i w:val="false"/>
          <w:iCs w:val="false"/>
          <w:color w:val="333333"/>
          <w:sz w:val="21"/>
          <w:szCs w:val="21"/>
        </w:rPr>
        <w:t xml:space="preserve">Staffing</w:t>
      </w:r>
    </w:p>
    <w:tbl>
      <w:tblPr>
        <w:tblW w:type="dxa" w:w="9026"/>
        <w:tblBorders>
          <w:top w:val="single" w:color="BFBFBF" w:sz="4"/>
          <w:left w:val="single" w:color="BFBFBF" w:sz="4"/>
          <w:bottom w:val="single" w:color="BFBFBF" w:sz="4"/>
          <w:right w:val="single" w:color="BFBFBF" w:sz="4"/>
          <w:insideH w:val="single" w:color="BFBFBF" w:sz="4"/>
          <w:insideV w:val="single" w:color="BFBFBF" w:sz="4"/>
        </w:tblBorders>
      </w:tblPr>
      <w:tblGrid>
        <w:gridCol w:w="1444"/>
        <w:gridCol w:w="6138"/>
        <w:gridCol w:w="1444"/>
      </w:tblGrid>
      <w:tr>
        <w:trPr>
          <w:tblHeader/>
        </w:trPr>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Role</w:t>
            </w:r>
          </w:p>
        </w:tc>
        <w:tc>
          <w:tcPr>
            <w:tcW w:type="dxa" w:w="6138"/>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Name</w:t>
            </w:r>
          </w:p>
        </w:tc>
        <w:tc>
          <w:tcPr>
            <w:tcW w:type="dxa" w:w="1444"/>
            <w:shd w:fill="F2F2F2" w:color="auto" w:val="clear"/>
            <w:tcMar>
              <w:top w:type="dxa" w:w="80"/>
              <w:left w:type="dxa" w:w="120"/>
              <w:bottom w:type="dxa" w:w="80"/>
              <w:right w:type="dxa" w:w="120"/>
            </w:tcMar>
          </w:tcPr>
          <w:p>
            <w:pPr>
              <w:spacing w:after="20" w:before="20"/>
            </w:pPr>
            <w:r>
              <w:rPr>
                <w:rFonts w:ascii="Open Sans" w:cs="Open Sans" w:eastAsia="Open Sans" w:hAnsi="Open Sans"/>
                <w:b/>
                <w:bCs/>
                <w:i w:val="false"/>
                <w:iCs w:val="false"/>
                <w:color w:val="333333"/>
                <w:sz w:val="18"/>
                <w:szCs w:val="18"/>
              </w:rPr>
              <w:t xml:space="preserve">Domain credential</w:t>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1</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Module leader 2</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r>
        <w:trPr>
          <w:tblHeader w:val="false"/>
        </w:trPr>
        <w:tc>
          <w:tcPr>
            <w:tcW w:type="dxa" w:w="1444"/>
            <w:tcMar>
              <w:top w:type="dxa" w:w="80"/>
              <w:left w:type="dxa" w:w="120"/>
              <w:bottom w:type="dxa" w:w="80"/>
              <w:right w:type="dxa" w:w="120"/>
            </w:tcMar>
          </w:tcPr>
          <w:p>
            <w:pPr>
              <w:spacing w:after="20" w:before="20"/>
            </w:pPr>
            <w:r>
              <w:rPr>
                <w:rFonts w:ascii="Open Sans" w:cs="Open Sans" w:eastAsia="Open Sans" w:hAnsi="Open Sans"/>
                <w:b w:val="false"/>
                <w:bCs w:val="false"/>
                <w:i w:val="false"/>
                <w:iCs w:val="false"/>
                <w:color w:val="595959"/>
                <w:sz w:val="18"/>
                <w:szCs w:val="18"/>
              </w:rPr>
              <w:t xml:space="preserve">External module auditor</w:t>
            </w:r>
          </w:p>
        </w:tc>
        <w:tc>
          <w:tcPr>
            <w:tcW w:type="dxa" w:w="6138"/>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c>
          <w:tcPr>
            <w:tcW w:type="dxa" w:w="1444"/>
            <w:tcMar>
              <w:top w:type="dxa" w:w="80"/>
              <w:left w:type="dxa" w:w="120"/>
              <w:bottom w:type="dxa" w:w="80"/>
              <w:right w:type="dxa" w:w="120"/>
            </w:tcMar>
          </w:tcPr>
          <w:p>
            <w:pPr>
              <w:spacing w:after="20" w:before="20"/>
            </w:pPr>
            <w:r>
              <w:rPr>
                <w:rFonts w:ascii="Open Sans" w:cs="Open Sans" w:eastAsia="Open Sans" w:hAnsi="Open Sans"/>
                <w:sz w:val="18"/>
                <w:szCs w:val="18"/>
              </w:rPr>
              <w:t xml:space="preserve"/>
            </w:r>
          </w:p>
        </w:tc>
      </w:tr>
    </w:tbl>
    <w:p>
      <w:pPr>
        <w:spacing w:after="80" w:before="0"/>
      </w:pPr>
      <w:r>
        <w:rPr>
          <w:rFonts w:ascii="Open Sans" w:cs="Open Sans" w:eastAsia="Open Sans" w:hAnsi="Open Sans"/>
          <w:sz w:val="20"/>
          <w:szCs w:val="20"/>
        </w:rPr>
        <w:t xml:space="preserve"/>
      </w:r>
    </w:p>
    <w:p>
      <w:pPr>
        <w:spacing w:after="100" w:before="100"/>
      </w:pPr>
      <w:r>
        <w:rPr>
          <w:rFonts w:ascii="Open Sans" w:cs="Open Sans" w:eastAsia="Open Sans" w:hAnsi="Open Sans"/>
          <w:b/>
          <w:bCs/>
          <w:i w:val="false"/>
          <w:iCs w:val="false"/>
          <w:color w:val="595959"/>
          <w:sz w:val="20"/>
          <w:szCs w:val="20"/>
        </w:rPr>
        <w:t xml:space="preserve">Domain-expertise statement:</w:t>
      </w:r>
      <w:r>
        <w:rPr>
          <w:rFonts w:ascii="Open Sans" w:cs="Open Sans" w:eastAsia="Open Sans" w:hAnsi="Open Sans"/>
          <w:b w:val="false"/>
          <w:bCs w:val="false"/>
          <w:i w:val="false"/>
          <w:iCs w:val="false"/>
          <w:color w:val="595959"/>
          <w:sz w:val="20"/>
          <w:szCs w:val="20"/>
        </w:rPr>
        <w:t xml:space="preserve"> Delivered from professional-communication teaching expertise with computing-context familiarity; generic delivery is non-compliant.</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Open Sans" w:cs="Open Sans" w:eastAsia="Open Sans" w:hAnsi="Open Sans"/>
        <w:color w:val="767676"/>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pBdr>
      <w:spacing w:after="0" w:before="0"/>
    </w:pPr>
    <w:r>
      <w:rPr>
        <w:rFonts w:ascii="Open Sans" w:cs="Open Sans" w:eastAsia="Open Sans" w:hAnsi="Open Sans"/>
        <w:b w:val="false"/>
        <w:bCs w:val="false"/>
        <w:i w:val="false"/>
        <w:iCs w:val="false"/>
        <w:color w:val="767676"/>
        <w:sz w:val="16"/>
        <w:szCs w:val="16"/>
      </w:rPr>
      <w:t xml:space="preserve">NB-SOCE-L3-CM-IS-01  ·  Effective Communication Skills 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333333"/>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Descriptor - Effective Communication Skills I</dc:title>
  <dc:creator>NIBM School of Computing and Engineering</dc:creator>
  <cp:lastModifiedBy>Un-named</cp:lastModifiedBy>
  <cp:revision>1</cp:revision>
  <dcterms:created xsi:type="dcterms:W3CDTF">2026-08-13T06:30:23.679Z</dcterms:created>
  <dcterms:modified xsi:type="dcterms:W3CDTF">2026-08-13T06:30:23.679Z</dcterms:modified>
</cp:coreProperties>
</file>

<file path=docProps/custom.xml><?xml version="1.0" encoding="utf-8"?>
<Properties xmlns="http://schemas.openxmlformats.org/officeDocument/2006/custom-properties" xmlns:vt="http://schemas.openxmlformats.org/officeDocument/2006/docPropsVTypes"/>
</file>