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Open Sans" w:cs="Open Sans" w:eastAsia="Open Sans" w:hAnsi="Open Sans"/>
          <w:b/>
          <w:bCs/>
          <w:i w:val="false"/>
          <w:iCs w:val="false"/>
          <w:color w:val="333333"/>
          <w:sz w:val="26"/>
          <w:szCs w:val="26"/>
        </w:rPr>
        <w:t xml:space="preserve">National Institute of Business Management</w:t>
      </w:r>
    </w:p>
    <w:p>
      <w:pPr>
        <w:spacing w:after="260" w:before="0"/>
      </w:pPr>
      <w:r>
        <w:rPr>
          <w:rFonts w:ascii="Open Sans" w:cs="Open Sans" w:eastAsia="Open Sans" w:hAnsi="Open Sans"/>
          <w:b w:val="false"/>
          <w:bCs w:val="false"/>
          <w:i w:val="false"/>
          <w:iCs w:val="false"/>
          <w:color w:val="767676"/>
          <w:sz w:val="20"/>
          <w:szCs w:val="20"/>
        </w:rPr>
        <w:t xml:space="preserve">School of Computing and Engineering</w:t>
      </w:r>
    </w:p>
    <w:p>
      <w:pPr>
        <w:spacing w:after="60" w:before="0"/>
      </w:pPr>
      <w:r>
        <w:rPr>
          <w:rFonts w:ascii="Open Sans" w:cs="Open Sans" w:eastAsia="Open Sans" w:hAnsi="Open Sans"/>
          <w:b/>
          <w:bCs/>
          <w:i w:val="false"/>
          <w:iCs w:val="false"/>
          <w:color w:val="333333"/>
          <w:sz w:val="32"/>
          <w:szCs w:val="32"/>
        </w:rPr>
        <w:t xml:space="preserve">Module Descriptor - Industry Horizons</w:t>
      </w:r>
    </w:p>
    <w:p>
      <w:pPr>
        <w:spacing w:after="220" w:before="0"/>
      </w:pPr>
      <w:r>
        <w:rPr>
          <w:rFonts w:ascii="Open Sans" w:cs="Open Sans" w:eastAsia="Open Sans" w:hAnsi="Open Sans"/>
          <w:b w:val="false"/>
          <w:bCs w:val="false"/>
          <w:i w:val="false"/>
          <w:iCs w:val="false"/>
          <w:color w:val="767676"/>
          <w:sz w:val="19"/>
          <w:szCs w:val="19"/>
        </w:rPr>
        <w:t xml:space="preserve">NB-SOCE-L3-CM-IS-03  ·  undefined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Document status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Draft for Review - v1.1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Purpose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Specification-stage module descriptor</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Prepared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SOCE Curriculum Committee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Date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August 2026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Authoritative sources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School curriculum decision records; the Sri Lanka Qualifications Framework (University Grants Commission, 2015)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Applies to</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pathway named above</w:t>
            </w:r>
          </w:p>
        </w:tc>
      </w:tr>
    </w:tbl>
    <w:p>
      <w:pPr>
        <w:spacing w:after="120" w:before="12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Identity and Architecture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code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NB-SOCE-L3-CM-IS-03</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title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Industry Horizons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Scope / type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Institution-wide common (exit block, the common-module requirement) · Common / Integrative Skills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SLQF level / credits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Level 3 (Year 1 exit block) · 2 credits · 100 notional hours (1 credit = 50 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Carried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All four SOCE pathways - unchanged-identical wherever carried; pathway-flavoured case material is a delivery matter, not a specification split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Exit-award relevance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Core competency-evidence module of the Diploma exit; NVQ Level 5 target orientation</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Taken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Students who have declared exit at Diploma level, alongside the completed Year 1 set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Prerequisites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None as a hard prerequisite; taken alongside the completed Year 1 set</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Delivery mode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Workshop-based skills delivery: 15 workshop hours as 5 three-hour blocks, plus facilitated activities, coaching and independent work per the B-2 profile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Hours profile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Skills 2-credit (B-2), the School's hours model</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Purpose and Aims</w:t>
      </w:r>
    </w:p>
    <w:p>
      <w:pPr>
        <w:spacing w:after="100" w:before="100"/>
      </w:pPr>
      <w:r>
        <w:rPr>
          <w:rFonts w:ascii="Open Sans" w:cs="Open Sans" w:eastAsia="Open Sans" w:hAnsi="Open Sans"/>
          <w:b w:val="false"/>
          <w:bCs w:val="false"/>
          <w:i w:val="false"/>
          <w:iCs w:val="false"/>
          <w:color w:val="595959"/>
          <w:sz w:val="20"/>
          <w:szCs w:val="20"/>
        </w:rPr>
        <w:t xml:space="preserve">To equip a student exiting at Diploma level with a clear, realistic view of the computing employment landscape and an initial evidence portfolio to enter it. The module maps sector roles, routes and entry expectations against the student's pathway, and turns completed Year 1 work into structured, auditable evidence of capability. It is a core competency-evidence module of the Diploma exit and is oriented to the NVQ Level 5 target.</w:t>
      </w:r>
    </w:p>
    <w:p>
      <w:pPr>
        <w:spacing w:after="90" w:before="220"/>
      </w:pPr>
      <w:r>
        <w:rPr>
          <w:rFonts w:ascii="Open Sans" w:cs="Open Sans" w:eastAsia="Open Sans" w:hAnsi="Open Sans"/>
          <w:b/>
          <w:bCs/>
          <w:i w:val="false"/>
          <w:iCs w:val="false"/>
          <w:color w:val="333333"/>
          <w:sz w:val="21"/>
          <w:szCs w:val="21"/>
        </w:rPr>
        <w:t xml:space="preserve">Specification Boundary</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Covers:</w:t>
      </w:r>
      <w:r>
        <w:rPr>
          <w:rFonts w:ascii="Open Sans" w:cs="Open Sans" w:eastAsia="Open Sans" w:hAnsi="Open Sans"/>
          <w:b w:val="false"/>
          <w:bCs w:val="false"/>
          <w:i w:val="false"/>
          <w:iCs w:val="false"/>
          <w:color w:val="595959"/>
          <w:sz w:val="19"/>
          <w:szCs w:val="19"/>
        </w:rPr>
        <w:t xml:space="preserve"> the employment landscape of the computing and IT sector; industry roles, career routes and entry expectations; sector awareness aligned to the student's pathway; portfolio seeding.</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Does NOT cover:</w:t>
      </w:r>
      <w:r>
        <w:rPr>
          <w:rFonts w:ascii="Open Sans" w:cs="Open Sans" w:eastAsia="Open Sans" w:hAnsi="Open Sans"/>
          <w:b w:val="false"/>
          <w:bCs w:val="false"/>
          <w:i w:val="false"/>
          <w:iCs w:val="false"/>
          <w:color w:val="595959"/>
          <w:sz w:val="19"/>
          <w:szCs w:val="19"/>
        </w:rPr>
        <w:t xml:space="preserve"> career strategy and professional-profile depth (Professional Standing and Career Strategy, HND exit); workplace conduct foundations (Professional Practice Foundations).</w:t>
      </w:r>
    </w:p>
    <w:p>
      <w:pPr>
        <w:pBdr>
          <w:left w:val="single" w:color="BFBFBF" w:sz="12"/>
        </w:pBdr>
        <w:spacing w:after="60" w:before="60"/>
        <w:ind w:left="300"/>
      </w:pPr>
      <w:r>
        <w:rPr>
          <w:rFonts w:ascii="Open Sans" w:cs="Open Sans" w:eastAsia="Open Sans" w:hAnsi="Open Sans"/>
          <w:b w:val="false"/>
          <w:bCs w:val="false"/>
          <w:i w:val="false"/>
          <w:iCs w:val="false"/>
          <w:color w:val="595959"/>
          <w:sz w:val="19"/>
          <w:szCs w:val="19"/>
        </w:rPr>
        <w:t xml:space="preserve">Changes to this boundary are made only through the School's formal change-control process.</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Learning Outcomes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Intended Learning Outcome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Register</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Map the roles, routes and expectations of the computing employment landscape relevant to the pathway.</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Understand / Apply (Bloom); K-SAM 1, 9</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Assemble an initial evidence portfolio of skills and completed work.</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7, 11</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Identify a realistic personal entry route into industry or further study.</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 introductory Evaluate (Bloom); K-SAM 11, 12</w:t>
            </w:r>
          </w:p>
        </w:tc>
      </w:tr>
    </w:tbl>
    <w:p>
      <w:pPr>
        <w:spacing w:after="80" w:before="0"/>
      </w:pPr>
      <w:r>
        <w:rPr>
          <w:rFonts w:ascii="Open Sans" w:cs="Open Sans" w:eastAsia="Open Sans" w:hAnsi="Open Sans"/>
          <w:sz w:val="20"/>
          <w:szCs w:val="20"/>
        </w:rPr>
        <w:t xml:space="preserve"/>
      </w:r>
    </w:p>
    <w:p>
      <w:pPr>
        <w:spacing w:after="90" w:before="220"/>
      </w:pPr>
      <w:r>
        <w:rPr>
          <w:rFonts w:ascii="Open Sans" w:cs="Open Sans" w:eastAsia="Open Sans" w:hAnsi="Open Sans"/>
          <w:b/>
          <w:bCs/>
          <w:i w:val="false"/>
          <w:iCs w:val="false"/>
          <w:color w:val="333333"/>
          <w:sz w:val="21"/>
          <w:szCs w:val="21"/>
        </w:rPr>
        <w:t xml:space="preserve">Exit-Award Orientation (the exit-award requirement; TVEC)</w:t>
      </w:r>
    </w:p>
    <w:p>
      <w:pPr>
        <w:pBdr>
          <w:left w:val="single" w:color="BFBFBF" w:sz="12"/>
        </w:pBdr>
        <w:spacing w:after="60" w:before="60"/>
        <w:ind w:left="300"/>
      </w:pPr>
      <w:r>
        <w:rPr>
          <w:rFonts w:ascii="Open Sans" w:cs="Open Sans" w:eastAsia="Open Sans" w:hAnsi="Open Sans"/>
          <w:b w:val="false"/>
          <w:bCs w:val="false"/>
          <w:i w:val="false"/>
          <w:iCs w:val="false"/>
          <w:color w:val="595959"/>
          <w:sz w:val="19"/>
          <w:szCs w:val="19"/>
        </w:rPr>
        <w:t xml:space="preserve">This is a core competency-evidence module of the Diploma exit award, oriented to the NVQ Level 5 target. Independent-work hours are directed to the evidence portfolio (skills inventory mapped to completed Year 1 artefacts) and a personal entry-route plan; both structured as auditable competency evidence against the NVQ Level 5 target. </w:t>
      </w:r>
      <w:r>
        <w:rPr>
          <w:rFonts w:ascii="Open Sans" w:cs="Open Sans" w:eastAsia="Open Sans" w:hAnsi="Open Sans"/>
          <w:b/>
          <w:bCs/>
          <w:i w:val="false"/>
          <w:iCs w:val="false"/>
          <w:color w:val="595959"/>
          <w:sz w:val="19"/>
          <w:szCs w:val="19"/>
        </w:rPr>
        <w:t xml:space="preserve">TVEC accreditation is an active pursuit and is not yet granted; additional requirements may be introduced, and the competency-evidence mapping above remains adaptable to confirmed requirements.</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Skills Programme and Delivery</w:t>
      </w:r>
    </w:p>
    <w:p>
      <w:pPr>
        <w:spacing w:after="90" w:before="220"/>
      </w:pPr>
      <w:r>
        <w:rPr>
          <w:rFonts w:ascii="Open Sans" w:cs="Open Sans" w:eastAsia="Open Sans" w:hAnsi="Open Sans"/>
          <w:b/>
          <w:bCs/>
          <w:i w:val="false"/>
          <w:iCs w:val="false"/>
          <w:color w:val="333333"/>
          <w:sz w:val="21"/>
          <w:szCs w:val="21"/>
        </w:rPr>
        <w:t xml:space="preserve">Workshop Programme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Theme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computing and IT sector: structure, roles and routes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Pathway-aligned roles and entry expectations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Evidence of capability: what a portfolio is and does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Building the portfolio from Year 1 work</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W5</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Personal entry route: options, realism and next steps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 workshop hours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Workshops run as five three-hour blocks (the School's curriculum decisions session pattern). Facilitated activities (21 hours) build the evidence artefacts; coaching (9 hours) gives individual feedback on developing portfolio pieces; independent work (55 hours) completes the competency-evidence portfolio. </w:t>
      </w:r>
      <w:r>
        <w:rPr>
          <w:rFonts w:ascii="Open Sans" w:cs="Open Sans" w:eastAsia="Open Sans" w:hAnsi="Open Sans"/>
          <w:b/>
          <w:bCs/>
          <w:i w:val="false"/>
          <w:iCs w:val="false"/>
          <w:color w:val="595959"/>
          <w:sz w:val="20"/>
          <w:szCs w:val="20"/>
        </w:rPr>
        <w:t xml:space="preserve">Note:</w:t>
      </w:r>
      <w:r>
        <w:rPr>
          <w:rFonts w:ascii="Open Sans" w:cs="Open Sans" w:eastAsia="Open Sans" w:hAnsi="Open Sans"/>
          <w:b w:val="false"/>
          <w:bCs w:val="false"/>
          <w:i w:val="false"/>
          <w:iCs w:val="false"/>
          <w:color w:val="595959"/>
          <w:sz w:val="20"/>
          <w:szCs w:val="20"/>
        </w:rPr>
        <w:t xml:space="preserve"> the B-2 hour split is 15/21/9/55 per the School's hours model, which supersedes the 16/20/8/56 indicative split in the central record (pre-the School's curriculum decisions).</w:t>
      </w:r>
    </w:p>
    <w:p>
      <w:pPr>
        <w:spacing w:after="90" w:before="220"/>
      </w:pPr>
      <w:r>
        <w:rPr>
          <w:rFonts w:ascii="Open Sans" w:cs="Open Sans" w:eastAsia="Open Sans" w:hAnsi="Open Sans"/>
          <w:b/>
          <w:bCs/>
          <w:i w:val="false"/>
          <w:iCs w:val="false"/>
          <w:color w:val="333333"/>
          <w:sz w:val="21"/>
          <w:szCs w:val="21"/>
        </w:rPr>
        <w:t xml:space="preserve">Engagement Hours (SLQF)</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Taught workshops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Facilitated activities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21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Coaching / feedback sessions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9</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Independent work (competency-evidence artefacts)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55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100</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Assessment</w:t>
      </w:r>
    </w:p>
    <w:p>
      <w:pPr>
        <w:spacing w:after="100" w:before="100"/>
      </w:pPr>
      <w:r>
        <w:rPr>
          <w:rFonts w:ascii="Open Sans" w:cs="Open Sans" w:eastAsia="Open Sans" w:hAnsi="Open Sans"/>
          <w:b w:val="false"/>
          <w:bCs w:val="false"/>
          <w:i w:val="false"/>
          <w:iCs w:val="false"/>
          <w:color w:val="595959"/>
          <w:sz w:val="20"/>
          <w:szCs w:val="20"/>
        </w:rPr>
        <w:t xml:space="preserve">Components per the Assessment Component Taxonomy (the School's assessment component taxonomy); weightings confirmed at specification sign-off. No formal examination is carried by design (skills module). Assessment artefacts are structured as auditable competency evidence for the exit award.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3249"/>
        <w:gridCol w:w="1444"/>
        <w:gridCol w:w="1444"/>
        <w:gridCol w:w="1445"/>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 code</w:t>
            </w:r>
          </w:p>
        </w:tc>
        <w:tc>
          <w:tcPr>
            <w:tcW w:type="dxa" w:w="3249"/>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Task</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Attributes</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ILOs</w:t>
            </w:r>
          </w:p>
        </w:tc>
        <w:tc>
          <w:tcPr>
            <w:tcW w:type="dxa" w:w="1445"/>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Weight</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CW-I-Home</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Evidence portfolio: a structured inventory of skills mapped to completed Year 1 artefacts, with a personal entry-route plan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take-home; graded; oral vehicle: None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LO2, LO3</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CW-I-Class</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Portfolio presentation: the student presents their evidence portfolio and entry route to a panel with question handling</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in-class; graded; oral vehicle: Presentation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LO3</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40</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Reassessment: by the failed component only, with an equivalent task, per School regulations. All assessment under the academic integrity policy including its generative-AI provisions; module-level AI stance at teaching-plan stage.</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Resources, Staff and Governance</w:t>
      </w:r>
    </w:p>
    <w:p>
      <w:pPr>
        <w:spacing w:after="90" w:before="220"/>
      </w:pPr>
      <w:r>
        <w:rPr>
          <w:rFonts w:ascii="Open Sans" w:cs="Open Sans" w:eastAsia="Open Sans" w:hAnsi="Open Sans"/>
          <w:b/>
          <w:bCs/>
          <w:i w:val="false"/>
          <w:iCs w:val="false"/>
          <w:color w:val="333333"/>
          <w:sz w:val="21"/>
          <w:szCs w:val="21"/>
        </w:rPr>
        <w:t xml:space="preserve">Indicative Reading</w:t>
      </w:r>
    </w:p>
    <w:p>
      <w:pPr>
        <w:spacing w:after="40" w:before="40"/>
        <w:ind w:left="300" w:hanging="160"/>
      </w:pPr>
      <w:r>
        <w:rPr>
          <w:rFonts w:ascii="Open Sans" w:cs="Open Sans" w:eastAsia="Open Sans" w:hAnsi="Open Sans"/>
          <w:b w:val="false"/>
          <w:bCs w:val="false"/>
          <w:i w:val="false"/>
          <w:iCs w:val="false"/>
          <w:color w:val="595959"/>
          <w:sz w:val="20"/>
          <w:szCs w:val="20"/>
        </w:rPr>
        <w:t xml:space="preserve">•  School-produced industry-landscape briefing and portfolio-construction workbook, refreshed each cycle against current sector data, confirmed at teaching-plan stage.</w:t>
      </w:r>
    </w:p>
    <w:p>
      <w:pPr>
        <w:spacing w:after="40" w:before="40"/>
        <w:ind w:left="300" w:hanging="160"/>
      </w:pPr>
      <w:r>
        <w:rPr>
          <w:rFonts w:ascii="Open Sans" w:cs="Open Sans" w:eastAsia="Open Sans" w:hAnsi="Open Sans"/>
          <w:b w:val="false"/>
          <w:bCs w:val="false"/>
          <w:i w:val="false"/>
          <w:iCs w:val="false"/>
          <w:color w:val="595959"/>
          <w:sz w:val="20"/>
          <w:szCs w:val="20"/>
        </w:rPr>
        <w:t xml:space="preserve">•  Current sector workforce reporting (Export Development Board; national ICT workforce surveys), as the live evidence base for the landscape workshops.</w:t>
      </w:r>
    </w:p>
    <w:p>
      <w:pPr>
        <w:spacing w:after="90" w:before="220"/>
      </w:pPr>
      <w:r>
        <w:rPr>
          <w:rFonts w:ascii="Open Sans" w:cs="Open Sans" w:eastAsia="Open Sans" w:hAnsi="Open Sans"/>
          <w:b/>
          <w:bCs/>
          <w:i w:val="false"/>
          <w:iCs w:val="false"/>
          <w:color w:val="333333"/>
          <w:sz w:val="21"/>
          <w:szCs w:val="21"/>
        </w:rPr>
        <w:t xml:space="preserve">Staffing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Role</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Name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Domain credential</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1</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2</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External module auditor</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bCs/>
          <w:i w:val="false"/>
          <w:iCs w:val="false"/>
          <w:color w:val="595959"/>
          <w:sz w:val="20"/>
          <w:szCs w:val="20"/>
        </w:rPr>
        <w:t xml:space="preserve">Domain-expertise statement:</w:t>
      </w:r>
      <w:r>
        <w:rPr>
          <w:rFonts w:ascii="Open Sans" w:cs="Open Sans" w:eastAsia="Open Sans" w:hAnsi="Open Sans"/>
          <w:b w:val="false"/>
          <w:bCs w:val="false"/>
          <w:i w:val="false"/>
          <w:iCs w:val="false"/>
          <w:color w:val="595959"/>
          <w:sz w:val="20"/>
          <w:szCs w:val="20"/>
        </w:rPr>
        <w:t xml:space="preserve"> Delivered from industry-engagement and careers expertise with computing-sector currency; generic delivery is non-compliant.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pen Sans" w:cs="Open Sans" w:eastAsia="Open Sans" w:hAnsi="Open Sans"/>
        <w:color w:val="76767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spacing w:after="0" w:before="0"/>
    </w:pPr>
    <w:r>
      <w:rPr>
        <w:rFonts w:ascii="Open Sans" w:cs="Open Sans" w:eastAsia="Open Sans" w:hAnsi="Open Sans"/>
        <w:b w:val="false"/>
        <w:bCs w:val="false"/>
        <w:i w:val="false"/>
        <w:iCs w:val="false"/>
        <w:color w:val="767676"/>
        <w:sz w:val="16"/>
        <w:szCs w:val="16"/>
      </w:rPr>
      <w:t xml:space="preserve">NB-SOCE-L3-CM-IS-03  ·  Industry Horizons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Descriptor - Industry Horizons</dc:title>
  <dc:creator>NIBM School of Computing and Engineering</dc:creator>
  <cp:lastModifiedBy>Un-named</cp:lastModifiedBy>
  <cp:revision>1</cp:revision>
  <dcterms:created xsi:type="dcterms:W3CDTF">2026-08-13T06:30:24.318Z</dcterms:created>
  <dcterms:modified xsi:type="dcterms:W3CDTF">2026-08-13T06:30:24.318Z</dcterms:modified>
</cp:coreProperties>
</file>

<file path=docProps/custom.xml><?xml version="1.0" encoding="utf-8"?>
<Properties xmlns="http://schemas.openxmlformats.org/officeDocument/2006/custom-properties" xmlns:vt="http://schemas.openxmlformats.org/officeDocument/2006/docPropsVTypes"/>
</file>