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6"/>
          <w:szCs w:val="26"/>
        </w:rPr>
        <w:t xml:space="preserve">National Institute of Business Management</w:t>
      </w:r>
    </w:p>
    <w:p>
      <w:pPr>
        <w:spacing w:after="2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20"/>
          <w:szCs w:val="20"/>
        </w:rPr>
        <w:t xml:space="preserve">School of Computing and Engineering</w:t>
      </w:r>
    </w:p>
    <w:p>
      <w:pPr>
        <w:spacing w:after="6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32"/>
          <w:szCs w:val="32"/>
        </w:rPr>
        <w:t xml:space="preserve">Module Descriptor - Professional Practice Foundations</w:t>
      </w:r>
    </w:p>
    <w:p>
      <w:pPr>
        <w:spacing w:after="2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NB-SOCE-L3-CM-IS-04  ·  undefined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Draft for Review - v1.1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Purpose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Specification-stage module descriptor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SOCE Curriculum Committee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August 2026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Authoritative sources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School curriculum decision records; the Sri Lanka Qualifications Framework (University Grants Commission, 2015)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pathway named above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Identity and Architecture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code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NB-SOCE-L3-CM-IS-04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Professional Practice Foundations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Scope / type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Institution-wide common (exit block, the common-module requirement) · Common / Integrative Skills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SLQF level / credits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Level 3 (Year 1 exit block) · 2 credits · 100 notional hours (1 credit = 50 hours)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Carried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All four SOCE pathways - unchanged-identical wherever carried; pathway-flavoured case material is a delivery matter, not a specification split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Exit-award relevance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Core competency-evidence module of the Diploma exit; NVQ Level 5 target orientation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Taken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Students who have declared exit at Diploma level, alongside the completed Year 1 set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None as a hard prerequisite; taken alongside the completed Year 1 set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Workshop-based skills delivery: 15 workshop hours as 5 three-hour blocks, plus facilitated activities, coaching and independent work per the B-2 profile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Hours profile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Skills 2-credit (B-2), the School's hours model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Purpose and Aims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To prepare a Diploma-exiting student for the workplace: expected professional conduct and communication, honest and effective application materials, and a clear grasp of an entry-level computing professional's responsibilities. The module is practical and evidence-producing, and is a core competency-evidence module of the Diploma exit oriented to the NVQ Level 5 target.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Specification Boundary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Covers: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workplace conduct and professional expectations; CV and application craft; interview and workplace communication basics; introductory professional responsibility.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Does NOT cover: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ethics depth and professional-standing strategy (HND exit block); communication-skills breadth (Effective Communication Skills I and II).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Changes to this boundary are made only through the School's formal change-control process.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Learning Outcomes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Intended Learning Outcome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Register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Demonstrate expected workplace conduct and professional communication in computing settings.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(Bloom); K-SAM 3, 10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Produce application materials (CV, profile) that evidence competencies honestly and effectively.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(Bloom); K-SAM 3, 11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Explain the responsibilities of an entry-level computing professional.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Understand (Bloom); K-SAM 1, 10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Exit-Award Orientation (the exit-award requirement; TVEC)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This is a core competency-evidence module of the Diploma exit award, oriented to the NVQ Level 5 target. Independent-work hours are directed to a portfolio of application materials (CV, professional profile) and a workplace-conduct case response, mapped to workplace-readiness competencies against the NVQ Level 5 target. </w:t>
      </w: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TVEC accreditation is an active pursuit and is not yet granted; additional requirements may be introduced, and the competency-evidence mapping above remains adaptable to confirmed requirements.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Skills Programme and Delivery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Workshop Programme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Theme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workplace: conduct, expectations and professional norms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Application craft: CV and professional profile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Interview and workplace communication basics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Responsibilities of an entry-level professional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W5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Practice and consolidation: mock scenarios and review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 workshop hours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Workshops run as five three-hour blocks (the School's curriculum decisions session pattern). Facilitated activities (21 hours) build the evidence artefacts; coaching (9 hours) gives individual feedback on developing portfolio pieces; independent work (55 hours) completes the competency-evidence portfolio. </w:t>
      </w: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Note: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the B-2 hour split is 15/21/9/55 per the School's hours model, which supersedes the 16/20/8/56 indicative split in the central record (pre-the School's curriculum decisions).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Engagement Hours (SLQF)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Taught workshops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Facilitated activities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Coaching / feedback sessions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Independent work (competency-evidence artefacts)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Assessment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Components per the Assessment Component Taxonomy (the School's assessment component taxonomy); weightings confirmed at specification sign-off. No formal examination is carried by design (skills module). Assessment artefacts are structured as auditable competency evidence for the exit award.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3249"/>
        <w:gridCol w:w="1444"/>
        <w:gridCol w:w="1444"/>
        <w:gridCol w:w="1445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 code</w:t>
            </w:r>
          </w:p>
        </w:tc>
        <w:tc>
          <w:tcPr>
            <w:tcW w:type="dxa" w:w="3249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ILOs</w:t>
            </w:r>
          </w:p>
        </w:tc>
        <w:tc>
          <w:tcPr>
            <w:tcW w:type="dxa" w:w="144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CW-I-Home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Application portfolio: CV, professional profile and a written workplace-conduct case response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take-home;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LO2, LO3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CW-I-Class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Practical professional scenario: a conduct-and-communication simulation with reflection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in-class; graded; oral vehicle: Presentation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LO3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Reassessment: by the failed component only, with an equivalent task, per School regulations. All assessment under the academic integrity policy including its generative-AI provisions; module-level AI stance at teaching-plan stage.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Resources, Staff and Governance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Reading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School-produced professional-practice workbook and application-materials templates, confirmed at teaching-plan stage.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A current professional-conduct reference for the computing sector (for example a recognised computing-society code of conduct), selected use.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Staffing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Domain credential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External module auditor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Domain-expertise statement: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Delivered from professional-practice and employability expertise within the computing sector; generic delivery is non-compliant.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spacing w:after="0" w:before="0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767676"/>
        <w:sz w:val="16"/>
        <w:szCs w:val="16"/>
      </w:rPr>
      <w:t xml:space="preserve">NB-SOCE-L3-CM-IS-04  ·  Professional Practice Foundations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Descriptor - Professional Practice Foundations</dc:title>
  <dc:creator>NIBM School of Computing and Engineering</dc:creator>
  <cp:lastModifiedBy>Un-named</cp:lastModifiedBy>
  <cp:revision>1</cp:revision>
  <dcterms:created xsi:type="dcterms:W3CDTF">2026-08-13T06:30:24.622Z</dcterms:created>
  <dcterms:modified xsi:type="dcterms:W3CDTF">2026-08-13T06:30:24.622Z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