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6"/>
          <w:szCs w:val="26"/>
        </w:rPr>
        <w:t xml:space="preserve">National Institute of Business Management</w:t>
      </w:r>
    </w:p>
    <w:p>
      <w:pPr>
        <w:spacing w:after="2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20"/>
          <w:szCs w:val="20"/>
        </w:rPr>
        <w:t xml:space="preserve">School of Computing and Engineering</w:t>
      </w:r>
    </w:p>
    <w:p>
      <w:pPr>
        <w:spacing w:after="6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32"/>
          <w:szCs w:val="32"/>
        </w:rPr>
        <w:t xml:space="preserve">Module Descriptor - Algorithmic Thinking</w:t>
      </w:r>
    </w:p>
    <w:p>
      <w:pPr>
        <w:spacing w:after="2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767676"/>
          <w:sz w:val="19"/>
          <w:szCs w:val="19"/>
        </w:rPr>
        <w:t xml:space="preserve">NB-SOCE-L3-CM-TT-03  ·  undefined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Draft for Review - v1.2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Purpose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Specification-stage module descriptor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SOCE Curriculum Committee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Date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August 2026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Authoritative sources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School curriculum decision records; the Sri Lanka Qualifications Framework (University Grants Commission, 2015)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Applies to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The pathway named above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Identity and Architecture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Field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code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NB-SOCE-L3-CM-TT-03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title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Algorithmic Thinking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Scope / type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Institution-wide common (Tier 1) · Common / Taught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SLQF level / credits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Level 3 (Year 1) · 3 credits · 150 notional hours (1 credit = 50 hours)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Carried by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All four SOCE pathways - unchanged-identical wherever carried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Prerequisites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None beyond the Tier 1 base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Delivery mode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Session-based: 3-hour blocks; 16 lecture sessions plus tutorials, practicals and demonstration per the hours profile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Hours profile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Taught 3-credit (A-3), the School's hours model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Module Purpose and Aims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To develop language-independent algorithmic reasoning: decomposing problems into structured, solvable components; expressing solutions in pseudocode and flow representations; understanding searching, sorting and elementary data structures conceptually; and building an intuition for algorithmic efficiency, deliberately short of formal asymptotic analysis, which is owned downstream. The a curriculum decision re-banding trims hours, not boundary: the conceptual scope is unchanged from the previous cycle.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Specification Boundary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Covers: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problem decomposition; pseudocode and flow representation; searching and sorting concepts; elementary data structures conceptually; complexity intuition (not formal asymptotic analysis).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19"/>
          <w:szCs w:val="19"/>
        </w:rPr>
        <w:t xml:space="preserve">Does NOT cover: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 implementation in a production language; formal algorithm analysis (owners named in each pathway's records).</w:t>
      </w:r>
    </w:p>
    <w:p>
      <w:pPr>
        <w:pBdr>
          <w:left w:val="single" w:color="BFBFBF" w:sz="12"/>
        </w:pBdr>
        <w:spacing w:after="60" w:before="60"/>
        <w:ind w:left="3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19"/>
          <w:szCs w:val="19"/>
        </w:rPr>
        <w:t xml:space="preserve">Changes to this boundary are made only through the School's formal change-control process.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Learning Outcomes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Ref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Intended Learning Outcome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Register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Decompose problems into structured, solvable components.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Analyse (Bloom); K-SAM 5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Represent solutions using pseudocode and flow representations.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Apply (Bloom); K-SAM 2, 3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Compare searching and sorting strategies conceptually.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Analyse (Bloom); K-SAM 1, 5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LO4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Reason informally about algorithmic efficiency.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Analyse / Evaluate (informal) (Bloom); K-SAM 1, 5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Integrative Points and Seams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Pathway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Integrative point / seam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CS(SE) and CS(AI&amp;DS)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Supplies the language-independent reasoning that Programming, Data Structures and Algorithms I implements and NB5002CEM extends; withholding formal asymptotic analysis protects that vertical.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ITB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Conceptual base for Programming for Data and Analytics; ITB carries no formal algorithm analysis by design (PDSA I overridden), so this treatment is the pathway's full provision.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NEC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Dovetails with Applied Programming for Networks and Security with no gap or overlap; the two specifications stay aligned at specification stage.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Curriculum and Delivery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Indicative Syllabus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Unit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Content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Lecture hours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Problem decomposition and abstraction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Pseudocode and flow representation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U3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Searching strategies conceptually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U4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Sorting strategies conceptually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U5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Elementary data structures conceptually: lists, stacks, queues, trees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U6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Complexity intuition and efficiency reasoning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 lecture hours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48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48 lecture hours are delivered as 16 three-hour sessions; the a curriculum decision trim removes 18 the previous cycle-plan lecture hours through tightened practice density, not scope loss. Outcome coverage note: U5 (elementary data structures) is the conceptual substrate for LO3 and LO4 - the searching, sorting and efficiency reasoning in U3, U4 and U6 is taught over these structures - and is assessed through the design portfolio rather than as a standalone outcome, consistent with the four agreed LOs.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Teaching and Learning Hours (SLQF)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1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Hours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Lectures (fixed)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48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Tutorials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12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Practicals / Laboratory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24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In-class assignments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Demonstration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Self-guided study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54</w:t>
            </w:r>
          </w:p>
        </w:tc>
      </w:tr>
      <w:tr>
        <w:trPr>
          <w:tblHeader w:val="false"/>
        </w:trPr>
        <w:tc>
          <w:tcPr>
            <w:tcW w:type="dxa" w:w="270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Total</w:t>
            </w:r>
          </w:p>
        </w:tc>
        <w:tc>
          <w:tcPr>
            <w:tcW w:type="dxa" w:w="631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150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Assessment</w:t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Components per the Assessment Component Taxonomy (the School's assessment component taxonomy); weightings confirmed at specification sign-off. No formal examination is carried where none is listed.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3249"/>
        <w:gridCol w:w="1444"/>
        <w:gridCol w:w="1444"/>
        <w:gridCol w:w="1445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Component code</w:t>
            </w:r>
          </w:p>
        </w:tc>
        <w:tc>
          <w:tcPr>
            <w:tcW w:type="dxa" w:w="3249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Task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Attributes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ILOs</w:t>
            </w:r>
          </w:p>
        </w:tc>
        <w:tc>
          <w:tcPr>
            <w:tcW w:type="dxa" w:w="144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Weight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CW-I-Home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Algorithm design portfolio: five to six graded problems, each with decomposition, pseudocode over elementary data structures and an informal efficiency argument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take-home; graded; oral vehicle: None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LO1, LO2, LO3, LO4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60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CW-I-Class</w:t>
            </w:r>
          </w:p>
        </w:tc>
        <w:tc>
          <w:tcPr>
            <w:tcW w:type="dxa" w:w="324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Supervised design-and-reasoning test: decomposition, representation and conceptual comparison of strategies; 90 minutes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Individual; in-class (supervised); graded; oral vehicle: None</w:t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LO1, LO2, LO3</w:t>
            </w:r>
          </w:p>
        </w:tc>
        <w:tc>
          <w:tcPr>
            <w:tcW w:type="dxa" w:w="144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40</w:t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Reassessment: by the failed component only, with an equivalent task, per School regulations. All assessment under the academic integrity policy including its generative-AI provisions; module-level AI stance at teaching-plan stage.</w:t>
      </w:r>
    </w:p>
    <w:p>
      <w:pPr>
        <w:pBdr>
          <w:bottom w:val="single" w:color="BFBFBF" w:sz="6"/>
        </w:pBdr>
        <w:spacing w:after="120" w:before="30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4"/>
          <w:szCs w:val="24"/>
        </w:rPr>
        <w:t xml:space="preserve">Resources, Staff and Governance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Indicative Reading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Cormen, T. H., Algorithms Unlocked (MIT Press) - conceptual treatment matched to the pre-formal register.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Denning, P. J. and Tedre, M., Computational Thinking (MIT Press) - decomposition and abstraction framing.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Polya, G., How to Solve It (Princeton) - problem-decomposition heritage text, selected use.</w:t>
      </w:r>
    </w:p>
    <w:p>
      <w:pPr>
        <w:spacing w:after="40" w:before="40"/>
        <w:ind w:left="300" w:hanging="16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•  School-produced pseudocode convention guide and graded problem sets, confirmed at teaching-plan stage.</w:t>
      </w:r>
    </w:p>
    <w:p>
      <w:pPr>
        <w:spacing w:after="90" w:before="220"/>
      </w:pPr>
      <w:r>
        <w:rPr>
          <w:rFonts w:ascii="Open Sans" w:cs="Open Sans" w:eastAsia="Open Sans" w:hAnsi="Open Sans"/>
          <w:b/>
          <w:bCs/>
          <w:i w:val="false"/>
          <w:iCs w:val="false"/>
          <w:color w:val="333333"/>
          <w:sz w:val="21"/>
          <w:szCs w:val="21"/>
        </w:rPr>
        <w:t xml:space="preserve">Staffing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44"/>
        <w:gridCol w:w="6138"/>
        <w:gridCol w:w="1444"/>
      </w:tblGrid>
      <w:tr>
        <w:trPr>
          <w:tblHeader/>
        </w:trPr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Role</w:t>
            </w:r>
          </w:p>
        </w:tc>
        <w:tc>
          <w:tcPr>
            <w:tcW w:type="dxa" w:w="6138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Name</w:t>
            </w:r>
          </w:p>
        </w:tc>
        <w:tc>
          <w:tcPr>
            <w:tcW w:type="dxa" w:w="1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Domain credential</w:t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1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Module leader 2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595959"/>
                <w:sz w:val="18"/>
                <w:szCs w:val="18"/>
              </w:rPr>
              <w:t xml:space="preserve">External module auditor</w:t>
            </w:r>
          </w:p>
        </w:tc>
        <w:tc>
          <w:tcPr>
            <w:tcW w:type="dxa" w:w="6138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  <w:tc>
          <w:tcPr>
            <w:tcW w:type="dxa" w:w="144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Open Sans" w:cs="Open Sans" w:eastAsia="Open Sans" w:hAnsi="Open Sans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Open Sans" w:cs="Open Sans" w:eastAsia="Open Sans" w:hAnsi="Open Sans"/>
          <w:sz w:val="20"/>
          <w:szCs w:val="20"/>
        </w:rPr>
        <w:t xml:space="preserve"/>
      </w:r>
    </w:p>
    <w:p>
      <w:pPr>
        <w:spacing w:after="100" w:before="100"/>
      </w:pPr>
      <w:r>
        <w:rPr>
          <w:rFonts w:ascii="Open Sans" w:cs="Open Sans" w:eastAsia="Open Sans" w:hAnsi="Open Sans"/>
          <w:b/>
          <w:bCs/>
          <w:i w:val="false"/>
          <w:iCs w:val="false"/>
          <w:color w:val="595959"/>
          <w:sz w:val="20"/>
          <w:szCs w:val="20"/>
        </w:rPr>
        <w:t xml:space="preserve">Domain-expertise statement: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9"/>
          <w:sz w:val="20"/>
          <w:szCs w:val="20"/>
        </w:rPr>
        <w:t xml:space="preserve"> Taught from algorithms and computational-thinking expertise; generic delivery is non-compliant.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Open Sans" w:cs="Open Sans" w:eastAsia="Open Sans" w:hAnsi="Open Sans"/>
        <w:color w:val="767676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spacing w:after="0" w:before="0"/>
    </w:pPr>
    <w:r>
      <w:rPr>
        <w:rFonts w:ascii="Open Sans" w:cs="Open Sans" w:eastAsia="Open Sans" w:hAnsi="Open Sans"/>
        <w:b w:val="false"/>
        <w:bCs w:val="false"/>
        <w:i w:val="false"/>
        <w:iCs w:val="false"/>
        <w:color w:val="767676"/>
        <w:sz w:val="16"/>
        <w:szCs w:val="16"/>
      </w:rPr>
      <w:t xml:space="preserve">NB-SOCE-L3-CM-TT-03  ·  Algorithmic Thinking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Descriptor - Algorithmic Thinking</dc:title>
  <dc:creator>NIBM School of Computing and Engineering</dc:creator>
  <cp:lastModifiedBy>Un-named</cp:lastModifiedBy>
  <cp:revision>1</cp:revision>
  <dcterms:created xsi:type="dcterms:W3CDTF">2026-08-13T06:30:22.288Z</dcterms:created>
  <dcterms:modified xsi:type="dcterms:W3CDTF">2026-08-13T06:30:22.289Z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